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CA003" w14:textId="77777777" w:rsidR="001012EB" w:rsidRPr="005C1074" w:rsidRDefault="001012EB" w:rsidP="001012EB">
      <w:pPr>
        <w:pStyle w:val="Rubrik1"/>
        <w:rPr>
          <w:lang w:val="sv-SE"/>
        </w:rPr>
      </w:pPr>
      <w:r>
        <w:rPr>
          <w:lang w:val="sv-SE"/>
        </w:rPr>
        <w:t xml:space="preserve">Sekretessavtal för </w:t>
      </w:r>
      <w:proofErr w:type="spellStart"/>
      <w:r>
        <w:rPr>
          <w:lang w:val="sv-SE"/>
        </w:rPr>
        <w:t>Electrification</w:t>
      </w:r>
      <w:proofErr w:type="spellEnd"/>
      <w:r>
        <w:rPr>
          <w:lang w:val="sv-SE"/>
        </w:rPr>
        <w:t xml:space="preserve"> </w:t>
      </w:r>
      <w:proofErr w:type="spellStart"/>
      <w:r>
        <w:rPr>
          <w:lang w:val="sv-SE"/>
        </w:rPr>
        <w:t>Hub</w:t>
      </w:r>
      <w:proofErr w:type="spellEnd"/>
    </w:p>
    <w:p w14:paraId="7CB39C92" w14:textId="77777777" w:rsidR="001012EB" w:rsidRDefault="001012EB" w:rsidP="001012EB">
      <w:pPr>
        <w:rPr>
          <w:lang w:val="sv-SE"/>
        </w:rPr>
      </w:pPr>
    </w:p>
    <w:p w14:paraId="118A89F3" w14:textId="77777777" w:rsidR="001012EB" w:rsidRPr="005C1074" w:rsidRDefault="001012EB" w:rsidP="001012EB">
      <w:pPr>
        <w:rPr>
          <w:lang w:val="sv-SE"/>
        </w:rPr>
      </w:pPr>
      <w:r w:rsidRPr="005C1074">
        <w:rPr>
          <w:lang w:val="sv-SE"/>
        </w:rPr>
        <w:t>Detta Avtal har ingåtts mellan:</w:t>
      </w:r>
    </w:p>
    <w:p w14:paraId="0ADADAF7" w14:textId="77777777" w:rsidR="001012EB" w:rsidRPr="005C1074" w:rsidRDefault="001012EB" w:rsidP="001012EB">
      <w:pPr>
        <w:rPr>
          <w:b/>
          <w:lang w:val="sv-SE"/>
        </w:rPr>
      </w:pPr>
      <w:r>
        <w:rPr>
          <w:b/>
          <w:lang w:val="sv-SE"/>
        </w:rPr>
        <w:t>Mälardalens högskola</w:t>
      </w:r>
    </w:p>
    <w:p w14:paraId="090EE53D" w14:textId="77777777" w:rsidR="001012EB" w:rsidRPr="005C1074" w:rsidRDefault="001012EB" w:rsidP="001012EB">
      <w:pPr>
        <w:rPr>
          <w:b/>
          <w:highlight w:val="yellow"/>
          <w:lang w:val="sv-SE"/>
        </w:rPr>
      </w:pPr>
      <w:r w:rsidRPr="005C1074">
        <w:rPr>
          <w:b/>
          <w:highlight w:val="yellow"/>
          <w:lang w:val="sv-SE"/>
        </w:rPr>
        <w:t>Part 2</w:t>
      </w:r>
    </w:p>
    <w:p w14:paraId="1B7D0EC8" w14:textId="77777777" w:rsidR="001012EB" w:rsidRPr="005C1074" w:rsidRDefault="001012EB" w:rsidP="001012EB">
      <w:pPr>
        <w:rPr>
          <w:b/>
          <w:lang w:val="sv-SE"/>
        </w:rPr>
      </w:pPr>
      <w:r w:rsidRPr="005C1074">
        <w:rPr>
          <w:b/>
          <w:highlight w:val="yellow"/>
          <w:lang w:val="sv-SE"/>
        </w:rPr>
        <w:t>Part 3</w:t>
      </w:r>
    </w:p>
    <w:p w14:paraId="27ACDC49" w14:textId="77777777" w:rsidR="001012EB" w:rsidRPr="005C1074" w:rsidRDefault="001012EB" w:rsidP="001012EB">
      <w:pPr>
        <w:rPr>
          <w:lang w:val="sv-SE"/>
        </w:rPr>
      </w:pPr>
      <w:r w:rsidRPr="005C1074">
        <w:rPr>
          <w:lang w:val="sv-SE"/>
        </w:rPr>
        <w:t xml:space="preserve">och </w:t>
      </w:r>
    </w:p>
    <w:p w14:paraId="2D8B96E4" w14:textId="77777777" w:rsidR="001012EB" w:rsidRPr="005C1074" w:rsidRDefault="001012EB" w:rsidP="001012EB">
      <w:pPr>
        <w:rPr>
          <w:lang w:val="sv-SE"/>
        </w:rPr>
      </w:pPr>
      <w:r w:rsidRPr="005C1074">
        <w:rPr>
          <w:b/>
          <w:highlight w:val="yellow"/>
          <w:lang w:val="sv-SE"/>
        </w:rPr>
        <w:t>Part 4</w:t>
      </w:r>
    </w:p>
    <w:p w14:paraId="5F286F69" w14:textId="77777777" w:rsidR="001012EB" w:rsidRDefault="001012EB" w:rsidP="001012EB">
      <w:pPr>
        <w:rPr>
          <w:lang w:val="sv-SE"/>
        </w:rPr>
      </w:pPr>
      <w:r w:rsidRPr="005C1074">
        <w:rPr>
          <w:lang w:val="sv-SE"/>
        </w:rPr>
        <w:t xml:space="preserve">Var och en för sig benämnda ”Part” samt gemensamt ”Parterna”. </w:t>
      </w:r>
    </w:p>
    <w:p w14:paraId="2D46ED08" w14:textId="77777777" w:rsidR="001012EB" w:rsidRPr="005C1074" w:rsidRDefault="001012EB" w:rsidP="001012EB">
      <w:pPr>
        <w:rPr>
          <w:lang w:val="sv-SE"/>
        </w:rPr>
      </w:pPr>
      <w:r w:rsidRPr="005C1074">
        <w:rPr>
          <w:lang w:val="sv-SE"/>
        </w:rPr>
        <w:t>Samtliga ovan nämnda parter, samt eventuellt tillkommande parter, benämns nedan gemensamt "Parterna" och var och en f</w:t>
      </w:r>
      <w:r>
        <w:rPr>
          <w:lang w:val="sv-SE"/>
        </w:rPr>
        <w:t>ör sig "Part"</w:t>
      </w:r>
      <w:r w:rsidRPr="005C1074">
        <w:rPr>
          <w:lang w:val="sv-SE"/>
        </w:rPr>
        <w:t>.</w:t>
      </w:r>
    </w:p>
    <w:p w14:paraId="1500163D" w14:textId="77777777" w:rsidR="001012EB" w:rsidRDefault="001012EB" w:rsidP="001012EB">
      <w:pPr>
        <w:pStyle w:val="Liststycke"/>
        <w:numPr>
          <w:ilvl w:val="0"/>
          <w:numId w:val="1"/>
        </w:numPr>
        <w:jc w:val="both"/>
      </w:pPr>
      <w:r w:rsidRPr="00F56028">
        <w:rPr>
          <w:lang w:val="sv-SE"/>
        </w:rPr>
        <w:t>Bakgrund</w:t>
      </w:r>
    </w:p>
    <w:p w14:paraId="3F61DCD4" w14:textId="77777777" w:rsidR="001012EB" w:rsidRPr="005C1074" w:rsidRDefault="001012EB" w:rsidP="001012EB">
      <w:pPr>
        <w:rPr>
          <w:lang w:val="sv-SE"/>
        </w:rPr>
      </w:pPr>
      <w:r w:rsidRPr="005C1074">
        <w:rPr>
          <w:lang w:val="sv-SE"/>
        </w:rPr>
        <w:t>Par</w:t>
      </w:r>
      <w:r>
        <w:rPr>
          <w:lang w:val="sv-SE"/>
        </w:rPr>
        <w:t xml:space="preserve">terna är </w:t>
      </w:r>
      <w:r w:rsidRPr="00317502">
        <w:rPr>
          <w:lang w:val="sv-SE"/>
        </w:rPr>
        <w:t xml:space="preserve">överens om att samarbeta inom ramen för </w:t>
      </w:r>
      <w:proofErr w:type="spellStart"/>
      <w:r w:rsidRPr="00317502">
        <w:rPr>
          <w:lang w:val="sv-SE"/>
        </w:rPr>
        <w:t>Electrification</w:t>
      </w:r>
      <w:proofErr w:type="spellEnd"/>
      <w:r w:rsidRPr="00317502">
        <w:rPr>
          <w:lang w:val="sv-SE"/>
        </w:rPr>
        <w:t xml:space="preserve"> </w:t>
      </w:r>
      <w:proofErr w:type="spellStart"/>
      <w:r w:rsidRPr="00317502">
        <w:rPr>
          <w:lang w:val="sv-SE"/>
        </w:rPr>
        <w:t>Hub</w:t>
      </w:r>
      <w:proofErr w:type="spellEnd"/>
      <w:r w:rsidRPr="00317502">
        <w:rPr>
          <w:lang w:val="sv-SE"/>
        </w:rPr>
        <w:t xml:space="preserve"> (Samarbetet). Mellan Parterna ingås nu detta Avtal för att reglera informationsutbytet mellan</w:t>
      </w:r>
      <w:r>
        <w:rPr>
          <w:lang w:val="sv-SE"/>
        </w:rPr>
        <w:t xml:space="preserve"> Parterna</w:t>
      </w:r>
      <w:r w:rsidRPr="005C1074">
        <w:rPr>
          <w:lang w:val="sv-SE"/>
        </w:rPr>
        <w:t xml:space="preserve">. </w:t>
      </w:r>
    </w:p>
    <w:p w14:paraId="28619379" w14:textId="77777777" w:rsidR="001012EB" w:rsidRDefault="001012EB" w:rsidP="001012EB">
      <w:pPr>
        <w:pStyle w:val="Liststycke"/>
        <w:numPr>
          <w:ilvl w:val="0"/>
          <w:numId w:val="1"/>
        </w:numPr>
        <w:jc w:val="both"/>
      </w:pPr>
      <w:r w:rsidRPr="00F56028">
        <w:rPr>
          <w:lang w:val="sv-SE"/>
        </w:rPr>
        <w:t>Sekretessåtagande</w:t>
      </w:r>
      <w:r>
        <w:t xml:space="preserve"> </w:t>
      </w:r>
    </w:p>
    <w:p w14:paraId="4263565C" w14:textId="77777777" w:rsidR="001012EB" w:rsidRPr="00106B17" w:rsidRDefault="001012EB" w:rsidP="001012EB">
      <w:pPr>
        <w:rPr>
          <w:lang w:val="sv-SE"/>
        </w:rPr>
      </w:pPr>
      <w:r w:rsidRPr="005C1074">
        <w:rPr>
          <w:lang w:val="sv-SE"/>
        </w:rPr>
        <w:t xml:space="preserve">Parterna förbinder </w:t>
      </w:r>
      <w:r w:rsidRPr="0093713D">
        <w:rPr>
          <w:lang w:val="sv-SE"/>
        </w:rPr>
        <w:t xml:space="preserve">sig att från och med tidpunkten för </w:t>
      </w:r>
      <w:r w:rsidRPr="00D8441F">
        <w:rPr>
          <w:lang w:val="sv-SE"/>
        </w:rPr>
        <w:t>Avtalets undertecknade</w:t>
      </w:r>
      <w:r w:rsidRPr="0093713D">
        <w:rPr>
          <w:lang w:val="sv-SE"/>
        </w:rPr>
        <w:t xml:space="preserve"> inte avslöja</w:t>
      </w:r>
      <w:r w:rsidRPr="005C1074">
        <w:rPr>
          <w:lang w:val="sv-SE"/>
        </w:rPr>
        <w:t xml:space="preserve"> Konfidentiell Information för tredje man.</w:t>
      </w:r>
      <w:r>
        <w:rPr>
          <w:lang w:val="sv-SE"/>
        </w:rPr>
        <w:t xml:space="preserve"> </w:t>
      </w:r>
      <w:r w:rsidRPr="005C1074">
        <w:rPr>
          <w:lang w:val="sv-SE"/>
        </w:rPr>
        <w:t xml:space="preserve">Som Konfidentiell Information avses sådan information, såväl skriftlig som muntlig, </w:t>
      </w:r>
      <w:r>
        <w:rPr>
          <w:lang w:val="sv-SE"/>
        </w:rPr>
        <w:t xml:space="preserve">eller i annan form, </w:t>
      </w:r>
      <w:r w:rsidRPr="005C1074">
        <w:rPr>
          <w:lang w:val="sv-SE"/>
        </w:rPr>
        <w:t>som Part lämnat til</w:t>
      </w:r>
      <w:r>
        <w:rPr>
          <w:lang w:val="sv-SE"/>
        </w:rPr>
        <w:t xml:space="preserve">l annan Part i anslutning till </w:t>
      </w:r>
      <w:r w:rsidRPr="008E64B3">
        <w:rPr>
          <w:highlight w:val="yellow"/>
          <w:lang w:val="sv-SE"/>
        </w:rPr>
        <w:t>Samarbetet</w:t>
      </w:r>
      <w:r w:rsidRPr="005C1074">
        <w:rPr>
          <w:lang w:val="sv-SE"/>
        </w:rPr>
        <w:t xml:space="preserve"> med uttryckligt angivande, muntligen och/eller skriftligen, av att informationen är konfidentiell. Part </w:t>
      </w:r>
      <w:r w:rsidRPr="00D8441F">
        <w:rPr>
          <w:lang w:val="sv-SE"/>
        </w:rPr>
        <w:t>äger inte rätt att använda Konfidentiell Information för annat ändamål än för ifrågavarande Samarbete, såvida</w:t>
      </w:r>
      <w:r w:rsidRPr="005C1074">
        <w:rPr>
          <w:lang w:val="sv-SE"/>
        </w:rPr>
        <w:t xml:space="preserve"> inte denne äger den Konfidentiella Informationen</w:t>
      </w:r>
      <w:r>
        <w:rPr>
          <w:lang w:val="sv-SE"/>
        </w:rPr>
        <w:t xml:space="preserve">, </w:t>
      </w:r>
      <w:r w:rsidRPr="005906C5">
        <w:rPr>
          <w:highlight w:val="yellow"/>
          <w:lang w:val="sv-SE"/>
        </w:rPr>
        <w:t xml:space="preserve">och förbinder </w:t>
      </w:r>
      <w:proofErr w:type="gramStart"/>
      <w:r w:rsidRPr="005906C5">
        <w:rPr>
          <w:highlight w:val="yellow"/>
          <w:lang w:val="sv-SE"/>
        </w:rPr>
        <w:t>sig  att</w:t>
      </w:r>
      <w:proofErr w:type="gramEnd"/>
      <w:r w:rsidRPr="005906C5">
        <w:rPr>
          <w:highlight w:val="yellow"/>
          <w:lang w:val="sv-SE"/>
        </w:rPr>
        <w:t xml:space="preserve"> vidtaga erforderliga åtgärder för att förhindra att tillgrepp eller utlämnande sker eller att Konfidentiell Information utnyttjas för annat ändamål eller på annat sätt än för Samarbetet. Part ska begränsa spridningen av Konfidentiell Information till endast de anställda hos Parten som har behov av att känna till informationen för sitt arbete eller för att i övrigt fullgöra Partens åtagande inom ramen för Samarbetet.</w:t>
      </w:r>
      <w:r>
        <w:rPr>
          <w:lang w:val="sv-SE"/>
        </w:rPr>
        <w:t xml:space="preserve"> Part förbinder sig vidare att tillse att dennes konsulter eller motsvarande, </w:t>
      </w:r>
      <w:r w:rsidRPr="00D8441F">
        <w:rPr>
          <w:lang w:val="sv-SE"/>
        </w:rPr>
        <w:t xml:space="preserve">som involveras av Part inom ramen för Samarbetet inom </w:t>
      </w:r>
      <w:proofErr w:type="spellStart"/>
      <w:r w:rsidRPr="00D8441F">
        <w:rPr>
          <w:lang w:val="sv-SE"/>
        </w:rPr>
        <w:t>Electrification</w:t>
      </w:r>
      <w:proofErr w:type="spellEnd"/>
      <w:r w:rsidRPr="00D8441F">
        <w:rPr>
          <w:lang w:val="sv-SE"/>
        </w:rPr>
        <w:t xml:space="preserve"> </w:t>
      </w:r>
      <w:proofErr w:type="spellStart"/>
      <w:r w:rsidRPr="00D8441F">
        <w:rPr>
          <w:lang w:val="sv-SE"/>
        </w:rPr>
        <w:t>Hub</w:t>
      </w:r>
      <w:proofErr w:type="spellEnd"/>
      <w:r w:rsidRPr="00D8441F">
        <w:rPr>
          <w:lang w:val="sv-SE"/>
        </w:rPr>
        <w:t>, iakttar</w:t>
      </w:r>
      <w:r>
        <w:rPr>
          <w:lang w:val="sv-SE"/>
        </w:rPr>
        <w:t xml:space="preserve"> innehållet i detta Avtal samt ingår motsvarande sekretessförbindelse skriftligen. </w:t>
      </w:r>
    </w:p>
    <w:p w14:paraId="77F4D33F" w14:textId="77777777" w:rsidR="001012EB" w:rsidRPr="005C1074" w:rsidRDefault="001012EB" w:rsidP="001012EB">
      <w:pPr>
        <w:rPr>
          <w:lang w:val="sv-SE"/>
        </w:rPr>
      </w:pPr>
      <w:r w:rsidRPr="005C1074">
        <w:rPr>
          <w:lang w:val="sv-SE"/>
        </w:rPr>
        <w:t xml:space="preserve">Sekretessåtagandet gäller inte i </w:t>
      </w:r>
      <w:proofErr w:type="gramStart"/>
      <w:r w:rsidRPr="005C1074">
        <w:rPr>
          <w:lang w:val="sv-SE"/>
        </w:rPr>
        <w:t>den utsträckning</w:t>
      </w:r>
      <w:proofErr w:type="gramEnd"/>
      <w:r w:rsidRPr="005C1074">
        <w:rPr>
          <w:lang w:val="sv-SE"/>
        </w:rPr>
        <w:t>:</w:t>
      </w:r>
    </w:p>
    <w:p w14:paraId="06591133" w14:textId="77777777" w:rsidR="001012EB" w:rsidRPr="005C1074" w:rsidRDefault="001012EB" w:rsidP="001012EB">
      <w:pPr>
        <w:pStyle w:val="Liststycke"/>
        <w:numPr>
          <w:ilvl w:val="0"/>
          <w:numId w:val="2"/>
        </w:numPr>
        <w:jc w:val="both"/>
        <w:rPr>
          <w:lang w:val="sv-SE"/>
        </w:rPr>
      </w:pPr>
      <w:r w:rsidRPr="005C1074">
        <w:rPr>
          <w:lang w:val="sv-SE"/>
        </w:rPr>
        <w:t>Information är allmänt känd på något annat sätt än genom brott mot detta Avtal;</w:t>
      </w:r>
    </w:p>
    <w:p w14:paraId="21F58801" w14:textId="77777777" w:rsidR="001012EB" w:rsidRPr="005C1074" w:rsidRDefault="001012EB" w:rsidP="001012EB">
      <w:pPr>
        <w:pStyle w:val="Liststycke"/>
        <w:numPr>
          <w:ilvl w:val="0"/>
          <w:numId w:val="2"/>
        </w:numPr>
        <w:jc w:val="both"/>
        <w:rPr>
          <w:lang w:val="sv-SE"/>
        </w:rPr>
      </w:pPr>
      <w:r w:rsidRPr="005C1074">
        <w:rPr>
          <w:lang w:val="sv-SE"/>
        </w:rPr>
        <w:t>Part kan visa att den redan kände till informationen innan den kom till Partens kännedom genom detta Avtal;</w:t>
      </w:r>
    </w:p>
    <w:p w14:paraId="636F43DC" w14:textId="77777777" w:rsidR="001012EB" w:rsidRPr="005C1074" w:rsidRDefault="001012EB" w:rsidP="001012EB">
      <w:pPr>
        <w:pStyle w:val="Liststycke"/>
        <w:numPr>
          <w:ilvl w:val="0"/>
          <w:numId w:val="2"/>
        </w:numPr>
        <w:jc w:val="both"/>
        <w:rPr>
          <w:lang w:val="sv-SE"/>
        </w:rPr>
      </w:pPr>
      <w:r w:rsidRPr="005C1074">
        <w:rPr>
          <w:lang w:val="sv-SE"/>
        </w:rPr>
        <w:t>Part har erhållit informationen från tredje man utan krav på sekretess;</w:t>
      </w:r>
    </w:p>
    <w:p w14:paraId="3E8B4349" w14:textId="77777777" w:rsidR="001012EB" w:rsidRDefault="001012EB" w:rsidP="001012EB">
      <w:pPr>
        <w:pStyle w:val="Liststycke"/>
        <w:numPr>
          <w:ilvl w:val="0"/>
          <w:numId w:val="2"/>
        </w:numPr>
        <w:jc w:val="both"/>
        <w:rPr>
          <w:lang w:val="sv-SE"/>
        </w:rPr>
      </w:pPr>
      <w:r w:rsidRPr="005C1074">
        <w:rPr>
          <w:lang w:val="sv-SE"/>
        </w:rPr>
        <w:t>Part kan visa att samma information utvecklas eller utvecklats oberoende av den information som lämnats till Parten;</w:t>
      </w:r>
    </w:p>
    <w:p w14:paraId="7FA124BA" w14:textId="77777777" w:rsidR="001012EB" w:rsidRDefault="001012EB" w:rsidP="001012EB">
      <w:pPr>
        <w:pStyle w:val="Liststycke"/>
        <w:numPr>
          <w:ilvl w:val="0"/>
          <w:numId w:val="2"/>
        </w:numPr>
        <w:jc w:val="both"/>
        <w:rPr>
          <w:lang w:val="sv-SE"/>
        </w:rPr>
      </w:pPr>
      <w:r w:rsidRPr="005C1074">
        <w:rPr>
          <w:lang w:val="sv-SE"/>
        </w:rPr>
        <w:t>Part är skyldig att</w:t>
      </w:r>
      <w:r>
        <w:rPr>
          <w:lang w:val="sv-SE"/>
        </w:rPr>
        <w:t xml:space="preserve"> lämna ut informationen till följd av tvingande lag eller myndighetsbeslut. </w:t>
      </w:r>
    </w:p>
    <w:p w14:paraId="640AF246" w14:textId="77777777" w:rsidR="001012EB" w:rsidRPr="00317502" w:rsidRDefault="001012EB" w:rsidP="001012EB">
      <w:pPr>
        <w:jc w:val="both"/>
        <w:rPr>
          <w:lang w:val="sv-SE"/>
        </w:rPr>
      </w:pPr>
      <w:r w:rsidRPr="00317502">
        <w:rPr>
          <w:lang w:val="sv-SE"/>
        </w:rPr>
        <w:t xml:space="preserve">Existensen av detta Avtal ska inte anses som Konfidentiell Information. Konfidentiell Information som inte endast är muntlig ska på begäran från utlämnande Part återlämnas till denne. Mottagande Part får inte behålla några kopior, modeller eller andra reproduktioner därav. Mottagande Part ska dock ha rätt att behålla Konfidentiell Information för att efterleva tvingande lagstiftning avseende bevarande av </w:t>
      </w:r>
      <w:r w:rsidRPr="00317502">
        <w:rPr>
          <w:lang w:val="sv-SE"/>
        </w:rPr>
        <w:lastRenderedPageBreak/>
        <w:t xml:space="preserve">allmänna handlingar samt för arkivändamål. Om mottagande Part röjer Konfidentiell Information i strid mot detta Avtal föreligger en skyldighet att omedelbart informera utlämnande Part så att denne kan vidta skadebegränsande åtgärder. </w:t>
      </w:r>
    </w:p>
    <w:p w14:paraId="12FD4744" w14:textId="54CA36DC" w:rsidR="001012EB" w:rsidRPr="005C1074" w:rsidRDefault="001012EB" w:rsidP="001012EB">
      <w:pPr>
        <w:jc w:val="both"/>
        <w:rPr>
          <w:lang w:val="sv-SE"/>
        </w:rPr>
      </w:pPr>
      <w:r w:rsidRPr="009615B8">
        <w:rPr>
          <w:highlight w:val="yellow"/>
          <w:lang w:val="sv-SE"/>
        </w:rPr>
        <w:t xml:space="preserve">Äganderätten till </w:t>
      </w:r>
      <w:r w:rsidR="005906C5">
        <w:rPr>
          <w:highlight w:val="yellow"/>
          <w:lang w:val="sv-SE"/>
        </w:rPr>
        <w:t>K</w:t>
      </w:r>
      <w:r w:rsidRPr="009615B8">
        <w:rPr>
          <w:highlight w:val="yellow"/>
          <w:lang w:val="sv-SE"/>
        </w:rPr>
        <w:t>o</w:t>
      </w:r>
      <w:r w:rsidR="005906C5">
        <w:rPr>
          <w:highlight w:val="yellow"/>
          <w:lang w:val="sv-SE"/>
        </w:rPr>
        <w:t>nfidentiell</w:t>
      </w:r>
      <w:r w:rsidRPr="009615B8">
        <w:rPr>
          <w:highlight w:val="yellow"/>
          <w:lang w:val="sv-SE"/>
        </w:rPr>
        <w:t xml:space="preserve"> </w:t>
      </w:r>
      <w:r w:rsidR="005906C5">
        <w:rPr>
          <w:highlight w:val="yellow"/>
          <w:lang w:val="sv-SE"/>
        </w:rPr>
        <w:t>I</w:t>
      </w:r>
      <w:r w:rsidRPr="009615B8">
        <w:rPr>
          <w:highlight w:val="yellow"/>
          <w:lang w:val="sv-SE"/>
        </w:rPr>
        <w:t xml:space="preserve">nformation liksom varje immateriell rättighet förbunden med </w:t>
      </w:r>
      <w:r w:rsidR="005906C5">
        <w:rPr>
          <w:highlight w:val="yellow"/>
          <w:lang w:val="sv-SE"/>
        </w:rPr>
        <w:t>K</w:t>
      </w:r>
      <w:r w:rsidR="005906C5" w:rsidRPr="009615B8">
        <w:rPr>
          <w:highlight w:val="yellow"/>
          <w:lang w:val="sv-SE"/>
        </w:rPr>
        <w:t>o</w:t>
      </w:r>
      <w:r w:rsidR="005906C5">
        <w:rPr>
          <w:highlight w:val="yellow"/>
          <w:lang w:val="sv-SE"/>
        </w:rPr>
        <w:t>nfidentiell</w:t>
      </w:r>
      <w:r w:rsidR="005906C5" w:rsidRPr="009615B8">
        <w:rPr>
          <w:highlight w:val="yellow"/>
          <w:lang w:val="sv-SE"/>
        </w:rPr>
        <w:t xml:space="preserve"> </w:t>
      </w:r>
      <w:r w:rsidRPr="009615B8">
        <w:rPr>
          <w:highlight w:val="yellow"/>
          <w:lang w:val="sv-SE"/>
        </w:rPr>
        <w:t xml:space="preserve">Information skall kvarbli hos den Part som lämnat </w:t>
      </w:r>
      <w:r w:rsidR="005906C5">
        <w:rPr>
          <w:highlight w:val="yellow"/>
          <w:lang w:val="sv-SE"/>
        </w:rPr>
        <w:t>K</w:t>
      </w:r>
      <w:r w:rsidR="005906C5" w:rsidRPr="009615B8">
        <w:rPr>
          <w:highlight w:val="yellow"/>
          <w:lang w:val="sv-SE"/>
        </w:rPr>
        <w:t>o</w:t>
      </w:r>
      <w:r w:rsidR="005906C5">
        <w:rPr>
          <w:highlight w:val="yellow"/>
          <w:lang w:val="sv-SE"/>
        </w:rPr>
        <w:t>nfidentiell</w:t>
      </w:r>
      <w:r w:rsidR="005906C5" w:rsidRPr="009615B8">
        <w:rPr>
          <w:highlight w:val="yellow"/>
          <w:lang w:val="sv-SE"/>
        </w:rPr>
        <w:t xml:space="preserve"> </w:t>
      </w:r>
      <w:r w:rsidRPr="009615B8">
        <w:rPr>
          <w:highlight w:val="yellow"/>
          <w:lang w:val="sv-SE"/>
        </w:rPr>
        <w:t>Information.</w:t>
      </w:r>
    </w:p>
    <w:p w14:paraId="19A3BB65" w14:textId="77777777" w:rsidR="001012EB" w:rsidRDefault="001012EB" w:rsidP="001012EB">
      <w:pPr>
        <w:pStyle w:val="Liststycke"/>
        <w:numPr>
          <w:ilvl w:val="0"/>
          <w:numId w:val="1"/>
        </w:numPr>
        <w:jc w:val="both"/>
        <w:rPr>
          <w:lang w:val="sv-SE"/>
        </w:rPr>
      </w:pPr>
      <w:r>
        <w:rPr>
          <w:lang w:val="sv-SE"/>
        </w:rPr>
        <w:t xml:space="preserve">Avtalstid </w:t>
      </w:r>
    </w:p>
    <w:p w14:paraId="3958D44E" w14:textId="77777777" w:rsidR="001012EB" w:rsidRPr="00317502" w:rsidRDefault="001012EB" w:rsidP="001012EB">
      <w:pPr>
        <w:jc w:val="both"/>
        <w:rPr>
          <w:lang w:val="sv-SE"/>
        </w:rPr>
      </w:pPr>
      <w:r w:rsidRPr="00317502">
        <w:rPr>
          <w:lang w:val="sv-SE"/>
        </w:rPr>
        <w:t xml:space="preserve">Detta Avtal träder i kraft när det undertecknats </w:t>
      </w:r>
      <w:r>
        <w:rPr>
          <w:lang w:val="sv-SE"/>
        </w:rPr>
        <w:t xml:space="preserve">av </w:t>
      </w:r>
      <w:r w:rsidRPr="00317502">
        <w:rPr>
          <w:lang w:val="sv-SE"/>
        </w:rPr>
        <w:t xml:space="preserve">respektive Part. Avtalet upphör att gälla fem </w:t>
      </w:r>
      <w:r>
        <w:rPr>
          <w:lang w:val="sv-SE"/>
        </w:rPr>
        <w:t xml:space="preserve">(5) </w:t>
      </w:r>
      <w:r w:rsidRPr="00317502">
        <w:rPr>
          <w:lang w:val="sv-SE"/>
        </w:rPr>
        <w:t xml:space="preserve">år efter undertecknandet. Trots att Avtalet upphör att gälla ska punkten 2 i Avtalet även fortsättningsvis äga giltighet under en tidsperiod om fem (5) år efter Avtalets upphörande. </w:t>
      </w:r>
    </w:p>
    <w:p w14:paraId="1FD57A2C" w14:textId="77777777" w:rsidR="001012EB" w:rsidRPr="00317502" w:rsidRDefault="001012EB" w:rsidP="001012EB">
      <w:pPr>
        <w:pStyle w:val="Liststycke"/>
        <w:numPr>
          <w:ilvl w:val="0"/>
          <w:numId w:val="1"/>
        </w:numPr>
        <w:jc w:val="both"/>
        <w:rPr>
          <w:lang w:val="sv-SE"/>
        </w:rPr>
      </w:pPr>
      <w:r w:rsidRPr="00317502">
        <w:rPr>
          <w:lang w:val="sv-SE"/>
        </w:rPr>
        <w:t>Tillkommande Part</w:t>
      </w:r>
    </w:p>
    <w:p w14:paraId="5BBCA88C" w14:textId="77777777" w:rsidR="001012EB" w:rsidRDefault="001012EB" w:rsidP="001012EB">
      <w:pPr>
        <w:rPr>
          <w:lang w:val="sv-SE"/>
        </w:rPr>
      </w:pPr>
      <w:r>
        <w:rPr>
          <w:lang w:val="sv-SE"/>
        </w:rPr>
        <w:t>Tillträde till A</w:t>
      </w:r>
      <w:r w:rsidRPr="005C1074">
        <w:rPr>
          <w:lang w:val="sv-SE"/>
        </w:rPr>
        <w:t xml:space="preserve">vtalet </w:t>
      </w:r>
      <w:r>
        <w:rPr>
          <w:lang w:val="sv-SE"/>
        </w:rPr>
        <w:t xml:space="preserve">av andra än de som är </w:t>
      </w:r>
      <w:r w:rsidRPr="005C1074">
        <w:rPr>
          <w:lang w:val="sv-SE"/>
        </w:rPr>
        <w:t>avtalspa</w:t>
      </w:r>
      <w:r>
        <w:rPr>
          <w:lang w:val="sv-SE"/>
        </w:rPr>
        <w:t>rter skall godkännas skriftligen av samtliga Parter</w:t>
      </w:r>
      <w:r w:rsidRPr="005C1074">
        <w:rPr>
          <w:lang w:val="sv-SE"/>
        </w:rPr>
        <w:t>. Som villkor för tillträde</w:t>
      </w:r>
      <w:r>
        <w:rPr>
          <w:lang w:val="sv-SE"/>
        </w:rPr>
        <w:t xml:space="preserve"> skall krävas att tillkommande P</w:t>
      </w:r>
      <w:r w:rsidRPr="005C1074">
        <w:rPr>
          <w:lang w:val="sv-SE"/>
        </w:rPr>
        <w:t>art skriftligt accepterar</w:t>
      </w:r>
      <w:r>
        <w:rPr>
          <w:lang w:val="sv-SE"/>
        </w:rPr>
        <w:t xml:space="preserve"> gällande villkor </w:t>
      </w:r>
      <w:r w:rsidRPr="005C1074">
        <w:rPr>
          <w:lang w:val="sv-SE"/>
        </w:rPr>
        <w:t>genom att påteckna en</w:t>
      </w:r>
      <w:r>
        <w:rPr>
          <w:lang w:val="sv-SE"/>
        </w:rPr>
        <w:t xml:space="preserve"> kopia av detta Avtal</w:t>
      </w:r>
      <w:r w:rsidRPr="005C1074">
        <w:rPr>
          <w:lang w:val="sv-SE"/>
        </w:rPr>
        <w:t>.</w:t>
      </w:r>
    </w:p>
    <w:p w14:paraId="6F9AF665" w14:textId="77777777" w:rsidR="001012EB" w:rsidRPr="00C52994" w:rsidRDefault="001012EB" w:rsidP="001012EB">
      <w:pPr>
        <w:pStyle w:val="Liststycke"/>
        <w:numPr>
          <w:ilvl w:val="0"/>
          <w:numId w:val="1"/>
        </w:numPr>
        <w:rPr>
          <w:lang w:val="sv-SE"/>
        </w:rPr>
      </w:pPr>
      <w:r w:rsidRPr="00C52994">
        <w:rPr>
          <w:lang w:val="sv-SE"/>
        </w:rPr>
        <w:t>Tvist och tillämplig lag</w:t>
      </w:r>
    </w:p>
    <w:p w14:paraId="26EB8458" w14:textId="77777777" w:rsidR="001012EB" w:rsidRPr="00C52994" w:rsidRDefault="001012EB" w:rsidP="001012EB">
      <w:pPr>
        <w:rPr>
          <w:lang w:val="sv-SE"/>
        </w:rPr>
      </w:pPr>
      <w:r w:rsidRPr="00C52994">
        <w:rPr>
          <w:lang w:val="sv-SE"/>
        </w:rPr>
        <w:t xml:space="preserve">Tvist som uppstår i anslutning till Avtalet ska slutligt avgöras genom skiljedom vid Stockholms Handelskammares Skiljedomsinstitut enligt dess regler för förenklat skiljeförfarande alternativt, om institutet självt med beaktande av målets svårighetsgrad, tvisteföremålets värde och övriga omständigheter bestämmer det, dess vanliga skiljedomsregler (i vilket fall institutet också ska bestämma antalet skiljemän). Skiljeförfarande ska äga rum i Stockholm, om parterna inte gemensamt kommer överens om annat. Detta Avtal ska tillämpas och tolkas enligt svensk lagstiftning. </w:t>
      </w:r>
    </w:p>
    <w:p w14:paraId="3440DCFD" w14:textId="77777777" w:rsidR="001012EB" w:rsidRPr="00C52994" w:rsidRDefault="001012EB" w:rsidP="001012EB">
      <w:pPr>
        <w:pStyle w:val="Liststycke"/>
        <w:numPr>
          <w:ilvl w:val="0"/>
          <w:numId w:val="1"/>
        </w:numPr>
        <w:rPr>
          <w:lang w:val="sv-SE"/>
        </w:rPr>
      </w:pPr>
      <w:r w:rsidRPr="00C52994">
        <w:rPr>
          <w:lang w:val="sv-SE"/>
        </w:rPr>
        <w:t>Skadestånd</w:t>
      </w:r>
    </w:p>
    <w:p w14:paraId="376AB884" w14:textId="77777777" w:rsidR="001012EB" w:rsidRPr="00ED24B5" w:rsidRDefault="001012EB" w:rsidP="001012EB">
      <w:pPr>
        <w:rPr>
          <w:lang w:val="sv-SE"/>
        </w:rPr>
      </w:pPr>
      <w:r w:rsidRPr="00C52994">
        <w:rPr>
          <w:lang w:val="sv-SE"/>
        </w:rPr>
        <w:t xml:space="preserve">Part som bryter mot detta Avtal har rätt till skadestånd motsvarande den verkliga skadan. Det totala skadeståndet enligt detta Avtal är dock begränsat till </w:t>
      </w:r>
      <w:r w:rsidRPr="009615B8">
        <w:rPr>
          <w:highlight w:val="yellow"/>
          <w:lang w:val="sv-SE"/>
        </w:rPr>
        <w:t>1 000 000</w:t>
      </w:r>
      <w:r w:rsidRPr="00D8441F">
        <w:rPr>
          <w:lang w:val="sv-SE"/>
        </w:rPr>
        <w:t xml:space="preserve"> SEK</w:t>
      </w:r>
      <w:r w:rsidRPr="00C52994">
        <w:rPr>
          <w:lang w:val="sv-SE"/>
        </w:rPr>
        <w:t>.</w:t>
      </w:r>
      <w:r>
        <w:rPr>
          <w:lang w:val="sv-SE"/>
        </w:rPr>
        <w:t xml:space="preserve"> </w:t>
      </w:r>
    </w:p>
    <w:p w14:paraId="635F0BE3" w14:textId="77777777" w:rsidR="00C70143" w:rsidRDefault="009A6F19"/>
    <w:sectPr w:rsidR="00C70143" w:rsidSect="001012EB">
      <w:headerReference w:type="even" r:id="rId7"/>
      <w:headerReference w:type="default" r:id="rId8"/>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B94D0" w14:textId="77777777" w:rsidR="004F5A3D" w:rsidRDefault="004F5A3D" w:rsidP="001012EB">
      <w:pPr>
        <w:spacing w:after="0" w:line="240" w:lineRule="auto"/>
      </w:pPr>
      <w:r>
        <w:separator/>
      </w:r>
    </w:p>
  </w:endnote>
  <w:endnote w:type="continuationSeparator" w:id="0">
    <w:p w14:paraId="73AD4435" w14:textId="77777777" w:rsidR="004F5A3D" w:rsidRDefault="004F5A3D" w:rsidP="0010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37E57" w14:textId="77777777" w:rsidR="004F5A3D" w:rsidRDefault="004F5A3D" w:rsidP="001012EB">
      <w:pPr>
        <w:spacing w:after="0" w:line="240" w:lineRule="auto"/>
      </w:pPr>
      <w:r>
        <w:separator/>
      </w:r>
    </w:p>
  </w:footnote>
  <w:footnote w:type="continuationSeparator" w:id="0">
    <w:p w14:paraId="660E7892" w14:textId="77777777" w:rsidR="004F5A3D" w:rsidRDefault="004F5A3D" w:rsidP="0010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274021902"/>
      <w:docPartObj>
        <w:docPartGallery w:val="Page Numbers (Top of Page)"/>
        <w:docPartUnique/>
      </w:docPartObj>
    </w:sdtPr>
    <w:sdtEndPr>
      <w:rPr>
        <w:rStyle w:val="Sidnummer"/>
      </w:rPr>
    </w:sdtEndPr>
    <w:sdtContent>
      <w:p w14:paraId="061878E6" w14:textId="5D77DA8B" w:rsidR="001012EB" w:rsidRDefault="001012EB" w:rsidP="0010214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67E5B21" w14:textId="77777777" w:rsidR="001012EB" w:rsidRDefault="001012EB" w:rsidP="001012EB">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5977" w14:textId="359F610E" w:rsidR="001012EB" w:rsidRPr="001012EB" w:rsidRDefault="009A6F19" w:rsidP="001012EB">
    <w:pPr>
      <w:pStyle w:val="Rubrik1"/>
      <w:ind w:right="360"/>
      <w:jc w:val="right"/>
      <w:rPr>
        <w:b w:val="0"/>
        <w:bCs w:val="0"/>
        <w:sz w:val="20"/>
        <w:szCs w:val="21"/>
        <w:lang w:val="sv-SE"/>
      </w:rPr>
    </w:pPr>
    <w:r w:rsidRPr="00C5158C">
      <w:rPr>
        <w:noProof/>
        <w:color w:val="404040" w:themeColor="text1" w:themeTint="BF"/>
        <w:lang w:val="sv-SE" w:eastAsia="sv-SE"/>
      </w:rPr>
      <mc:AlternateContent>
        <mc:Choice Requires="wps">
          <w:drawing>
            <wp:anchor distT="0" distB="0" distL="114300" distR="114300" simplePos="0" relativeHeight="251659264" behindDoc="0" locked="0" layoutInCell="1" allowOverlap="1" wp14:anchorId="3E5B2A75" wp14:editId="0D89E1DF">
              <wp:simplePos x="0" y="0"/>
              <wp:positionH relativeFrom="column">
                <wp:posOffset>5916705</wp:posOffset>
              </wp:positionH>
              <wp:positionV relativeFrom="paragraph">
                <wp:posOffset>-200420</wp:posOffset>
              </wp:positionV>
              <wp:extent cx="565200" cy="273600"/>
              <wp:effectExtent l="0" t="0" r="6350" b="12700"/>
              <wp:wrapNone/>
              <wp:docPr id="5" name="Textruta 5"/>
              <wp:cNvGraphicFramePr/>
              <a:graphic xmlns:a="http://schemas.openxmlformats.org/drawingml/2006/main">
                <a:graphicData uri="http://schemas.microsoft.com/office/word/2010/wordprocessingShape">
                  <wps:wsp>
                    <wps:cNvSpPr txBox="1"/>
                    <wps:spPr>
                      <a:xfrm>
                        <a:off x="0" y="0"/>
                        <a:ext cx="565200" cy="27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50395305"/>
                            <w:docPartObj>
                              <w:docPartGallery w:val="Page Numbers (Top of Page)"/>
                              <w:docPartUnique/>
                            </w:docPartObj>
                          </w:sdtPr>
                          <w:sdtContent>
                            <w:p w14:paraId="17819399" w14:textId="77777777" w:rsidR="009A6F19" w:rsidRDefault="009A6F19" w:rsidP="009A6F19">
                              <w:pPr>
                                <w:spacing w:line="240" w:lineRule="auto"/>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sdtContent>
                        </w:sdt>
                        <w:p w14:paraId="6108019D" w14:textId="77777777" w:rsidR="009A6F19" w:rsidRDefault="009A6F19" w:rsidP="009A6F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B2A75" id="_x0000_t202" coordsize="21600,21600" o:spt="202" path="m,l,21600r21600,l21600,xe">
              <v:stroke joinstyle="miter"/>
              <v:path gradientshapeok="t" o:connecttype="rect"/>
            </v:shapetype>
            <v:shape id="Textruta 5" o:spid="_x0000_s1026" type="#_x0000_t202" style="position:absolute;left:0;text-align:left;margin-left:465.9pt;margin-top:-15.8pt;width:44.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" filled="f" stroked="f" strokeweight=".5pt">
              <v:textbox inset="0,0,0,0">
                <w:txbxContent>
                  <w:sdt>
                    <w:sdtPr>
                      <w:id w:val="250395305"/>
                      <w:docPartObj>
                        <w:docPartGallery w:val="Page Numbers (Top of Page)"/>
                        <w:docPartUnique/>
                      </w:docPartObj>
                    </w:sdtPr>
                    <w:sdtContent>
                      <w:p w14:paraId="17819399" w14:textId="77777777" w:rsidR="009A6F19" w:rsidRDefault="009A6F19" w:rsidP="009A6F19">
                        <w:pPr>
                          <w:spacing w:line="240" w:lineRule="auto"/>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sdtContent>
                  </w:sdt>
                  <w:p w14:paraId="6108019D" w14:textId="77777777" w:rsidR="009A6F19" w:rsidRDefault="009A6F19" w:rsidP="009A6F19"/>
                </w:txbxContent>
              </v:textbox>
            </v:shape>
          </w:pict>
        </mc:Fallback>
      </mc:AlternateContent>
    </w:r>
    <w:r w:rsidR="001012EB" w:rsidRPr="001012EB">
      <w:rPr>
        <w:b w:val="0"/>
        <w:bCs w:val="0"/>
        <w:sz w:val="20"/>
        <w:szCs w:val="21"/>
        <w:lang w:val="sv-SE"/>
      </w:rPr>
      <w:t xml:space="preserve">Sekretessavtal för </w:t>
    </w:r>
    <w:proofErr w:type="spellStart"/>
    <w:r w:rsidR="001012EB" w:rsidRPr="001012EB">
      <w:rPr>
        <w:b w:val="0"/>
        <w:bCs w:val="0"/>
        <w:sz w:val="20"/>
        <w:szCs w:val="21"/>
        <w:lang w:val="sv-SE"/>
      </w:rPr>
      <w:t>Electrification</w:t>
    </w:r>
    <w:proofErr w:type="spellEnd"/>
    <w:r w:rsidR="001012EB" w:rsidRPr="001012EB">
      <w:rPr>
        <w:b w:val="0"/>
        <w:bCs w:val="0"/>
        <w:sz w:val="20"/>
        <w:szCs w:val="21"/>
        <w:lang w:val="sv-SE"/>
      </w:rPr>
      <w:t xml:space="preserve"> </w:t>
    </w:r>
    <w:proofErr w:type="spellStart"/>
    <w:r w:rsidR="001012EB" w:rsidRPr="001012EB">
      <w:rPr>
        <w:b w:val="0"/>
        <w:bCs w:val="0"/>
        <w:sz w:val="20"/>
        <w:szCs w:val="21"/>
        <w:lang w:val="sv-SE"/>
      </w:rPr>
      <w:t>Hub</w:t>
    </w:r>
    <w:proofErr w:type="spellEnd"/>
  </w:p>
  <w:p w14:paraId="4B3FE8A5" w14:textId="77777777" w:rsidR="001012EB" w:rsidRDefault="001012EB" w:rsidP="001012EB">
    <w:pPr>
      <w:rPr>
        <w:lang w:val="sv-SE"/>
      </w:rPr>
    </w:pPr>
  </w:p>
  <w:p w14:paraId="57897DF8" w14:textId="77777777" w:rsidR="001012EB" w:rsidRDefault="001012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96E73"/>
    <w:multiLevelType w:val="hybridMultilevel"/>
    <w:tmpl w:val="B756F04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FB573D1"/>
    <w:multiLevelType w:val="hybridMultilevel"/>
    <w:tmpl w:val="397C9B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EB"/>
    <w:rsid w:val="001012EB"/>
    <w:rsid w:val="0018297D"/>
    <w:rsid w:val="004F5A3D"/>
    <w:rsid w:val="005906C5"/>
    <w:rsid w:val="00735375"/>
    <w:rsid w:val="007625B3"/>
    <w:rsid w:val="009A6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A8634D2"/>
  <w15:chartTrackingRefBased/>
  <w15:docId w15:val="{16584A7B-F825-4A4D-86C9-5D284C4D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EB"/>
    <w:pPr>
      <w:spacing w:after="170" w:line="260" w:lineRule="atLeast"/>
    </w:pPr>
    <w:rPr>
      <w:rFonts w:ascii="Georgia" w:eastAsia="Times New Roman" w:hAnsi="Georgia" w:cs="Times New Roman"/>
      <w:sz w:val="20"/>
      <w:szCs w:val="20"/>
      <w:lang w:val="en-US"/>
    </w:rPr>
  </w:style>
  <w:style w:type="paragraph" w:styleId="Rubrik1">
    <w:name w:val="heading 1"/>
    <w:basedOn w:val="Normal"/>
    <w:next w:val="Normal"/>
    <w:link w:val="Rubrik1Char"/>
    <w:qFormat/>
    <w:rsid w:val="001012EB"/>
    <w:pPr>
      <w:keepNext/>
      <w:spacing w:before="320" w:after="0"/>
      <w:outlineLvl w:val="0"/>
    </w:pPr>
    <w:rPr>
      <w:rFonts w:ascii="Arial" w:hAnsi="Arial" w:cs="Arial"/>
      <w:b/>
      <w:bCs/>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012EB"/>
    <w:rPr>
      <w:rFonts w:ascii="Arial" w:eastAsia="Times New Roman" w:hAnsi="Arial" w:cs="Arial"/>
      <w:b/>
      <w:bCs/>
      <w:szCs w:val="28"/>
      <w:lang w:val="en-US"/>
    </w:rPr>
  </w:style>
  <w:style w:type="paragraph" w:styleId="Liststycke">
    <w:name w:val="List Paragraph"/>
    <w:basedOn w:val="Normal"/>
    <w:uiPriority w:val="34"/>
    <w:qFormat/>
    <w:rsid w:val="001012EB"/>
    <w:pPr>
      <w:ind w:left="720"/>
      <w:contextualSpacing/>
    </w:pPr>
  </w:style>
  <w:style w:type="character" w:styleId="Kommentarsreferens">
    <w:name w:val="annotation reference"/>
    <w:basedOn w:val="Standardstycketeckensnitt"/>
    <w:semiHidden/>
    <w:unhideWhenUsed/>
    <w:rsid w:val="001012EB"/>
    <w:rPr>
      <w:sz w:val="16"/>
      <w:szCs w:val="16"/>
    </w:rPr>
  </w:style>
  <w:style w:type="paragraph" w:styleId="Kommentarer">
    <w:name w:val="annotation text"/>
    <w:basedOn w:val="Normal"/>
    <w:link w:val="KommentarerChar"/>
    <w:semiHidden/>
    <w:unhideWhenUsed/>
    <w:rsid w:val="001012EB"/>
    <w:pPr>
      <w:spacing w:line="240" w:lineRule="auto"/>
    </w:pPr>
  </w:style>
  <w:style w:type="character" w:customStyle="1" w:styleId="KommentarerChar">
    <w:name w:val="Kommentarer Char"/>
    <w:basedOn w:val="Standardstycketeckensnitt"/>
    <w:link w:val="Kommentarer"/>
    <w:semiHidden/>
    <w:rsid w:val="001012EB"/>
    <w:rPr>
      <w:rFonts w:ascii="Georgia" w:eastAsia="Times New Roman" w:hAnsi="Georgia" w:cs="Times New Roman"/>
      <w:sz w:val="20"/>
      <w:szCs w:val="20"/>
      <w:lang w:val="en-US"/>
    </w:rPr>
  </w:style>
  <w:style w:type="paragraph" w:styleId="Sidhuvud">
    <w:name w:val="header"/>
    <w:basedOn w:val="Normal"/>
    <w:link w:val="SidhuvudChar"/>
    <w:uiPriority w:val="99"/>
    <w:unhideWhenUsed/>
    <w:rsid w:val="001012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012EB"/>
    <w:rPr>
      <w:rFonts w:ascii="Georgia" w:eastAsia="Times New Roman" w:hAnsi="Georgia" w:cs="Times New Roman"/>
      <w:sz w:val="20"/>
      <w:szCs w:val="20"/>
      <w:lang w:val="en-US"/>
    </w:rPr>
  </w:style>
  <w:style w:type="paragraph" w:styleId="Sidfot">
    <w:name w:val="footer"/>
    <w:basedOn w:val="Normal"/>
    <w:link w:val="SidfotChar"/>
    <w:uiPriority w:val="99"/>
    <w:unhideWhenUsed/>
    <w:rsid w:val="001012E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012EB"/>
    <w:rPr>
      <w:rFonts w:ascii="Georgia" w:eastAsia="Times New Roman" w:hAnsi="Georgia" w:cs="Times New Roman"/>
      <w:sz w:val="20"/>
      <w:szCs w:val="20"/>
      <w:lang w:val="en-US"/>
    </w:rPr>
  </w:style>
  <w:style w:type="character" w:styleId="Sidnummer">
    <w:name w:val="page number"/>
    <w:basedOn w:val="Standardstycketeckensnitt"/>
    <w:uiPriority w:val="99"/>
    <w:semiHidden/>
    <w:unhideWhenUsed/>
    <w:rsid w:val="0010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708</Words>
  <Characters>3757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Svanström</dc:creator>
  <cp:keywords/>
  <dc:description/>
  <cp:lastModifiedBy>Elin Svanström</cp:lastModifiedBy>
  <cp:revision>3</cp:revision>
  <dcterms:created xsi:type="dcterms:W3CDTF">2021-05-20T12:10:00Z</dcterms:created>
  <dcterms:modified xsi:type="dcterms:W3CDTF">2021-05-21T15:45:00Z</dcterms:modified>
</cp:coreProperties>
</file>