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FF6" w:rsidRDefault="00D81FF6" w:rsidP="00D81FF6">
      <w:pPr>
        <w:pStyle w:val="Rubrik1"/>
      </w:pPr>
      <w:bookmarkStart w:id="0" w:name="_GoBack"/>
      <w:bookmarkEnd w:id="0"/>
      <w:r>
        <w:rPr>
          <w:noProof/>
          <w:lang w:eastAsia="sv-SE"/>
        </w:rPr>
        <w:drawing>
          <wp:anchor distT="0" distB="0" distL="114300" distR="114300" simplePos="0" relativeHeight="251660288" behindDoc="0" locked="0" layoutInCell="1" allowOverlap="1" wp14:anchorId="2B175C7A" wp14:editId="3A437968">
            <wp:simplePos x="0" y="0"/>
            <wp:positionH relativeFrom="column">
              <wp:posOffset>194310</wp:posOffset>
            </wp:positionH>
            <wp:positionV relativeFrom="paragraph">
              <wp:posOffset>455295</wp:posOffset>
            </wp:positionV>
            <wp:extent cx="5501640" cy="5303581"/>
            <wp:effectExtent l="0" t="0" r="3810" b="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6336-026_10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01640" cy="5303581"/>
                    </a:xfrm>
                    <a:prstGeom prst="rect">
                      <a:avLst/>
                    </a:prstGeom>
                  </pic:spPr>
                </pic:pic>
              </a:graphicData>
            </a:graphic>
            <wp14:sizeRelH relativeFrom="margin">
              <wp14:pctWidth>0</wp14:pctWidth>
            </wp14:sizeRelH>
            <wp14:sizeRelV relativeFrom="margin">
              <wp14:pctHeight>0</wp14:pctHeight>
            </wp14:sizeRelV>
          </wp:anchor>
        </w:drawing>
      </w:r>
      <w:r>
        <w:br w:type="page"/>
      </w:r>
    </w:p>
    <w:p w:rsidR="009B704D" w:rsidRDefault="000C6D52" w:rsidP="009B704D">
      <w:pPr>
        <w:pStyle w:val="Rubrik1"/>
      </w:pPr>
      <w:r>
        <w:lastRenderedPageBreak/>
        <w:t>S</w:t>
      </w:r>
      <w:r w:rsidR="009B704D">
        <w:t>ammanfattande analys och framtidsbedömning</w:t>
      </w:r>
    </w:p>
    <w:p w:rsidR="000C6D52" w:rsidRDefault="000C6D52" w:rsidP="00973B27">
      <w:pPr>
        <w:spacing w:after="0" w:line="240" w:lineRule="auto"/>
        <w:rPr>
          <w:rFonts w:cs="Calibri"/>
          <w:iCs/>
          <w:color w:val="FF0000"/>
        </w:rPr>
      </w:pPr>
    </w:p>
    <w:p w:rsidR="00DB1E0D" w:rsidRDefault="007C743C" w:rsidP="005C4639">
      <w:pPr>
        <w:pStyle w:val="Rubrik2"/>
        <w:spacing w:line="276" w:lineRule="auto"/>
      </w:pPr>
      <w:r w:rsidRPr="00D573F2">
        <w:t>Slutsatser</w:t>
      </w:r>
      <w:r w:rsidR="00DB1E0D">
        <w:t xml:space="preserve"> sa</w:t>
      </w:r>
      <w:r w:rsidR="00DB1E0D" w:rsidRPr="00D573F2">
        <w:t>mmanfattning av åtgärder och resultat</w:t>
      </w:r>
    </w:p>
    <w:p w:rsidR="00A71043" w:rsidRDefault="00A71043" w:rsidP="005C4639">
      <w:pPr>
        <w:pStyle w:val="Rubrik2"/>
        <w:spacing w:before="0" w:line="276" w:lineRule="auto"/>
        <w:rPr>
          <w:b w:val="0"/>
          <w:i/>
          <w:color w:val="A6A6A6"/>
        </w:rPr>
      </w:pPr>
      <w:r w:rsidRPr="00A71043">
        <w:rPr>
          <w:b w:val="0"/>
        </w:rPr>
        <w:t>Befolkningens behov av hjälpmedel</w:t>
      </w:r>
      <w:r w:rsidR="007C743C" w:rsidRPr="00A71043">
        <w:rPr>
          <w:b w:val="0"/>
        </w:rPr>
        <w:t xml:space="preserve"> </w:t>
      </w:r>
      <w:r w:rsidRPr="00A71043">
        <w:rPr>
          <w:b w:val="0"/>
        </w:rPr>
        <w:t>har ökat</w:t>
      </w:r>
      <w:r w:rsidR="000F5A39" w:rsidRPr="00A71043">
        <w:rPr>
          <w:b w:val="0"/>
        </w:rPr>
        <w:t xml:space="preserve"> </w:t>
      </w:r>
      <w:r w:rsidR="007C743C" w:rsidRPr="00A71043">
        <w:rPr>
          <w:b w:val="0"/>
        </w:rPr>
        <w:t>till följd av demografiförändringar, snabba vårdprocesser och ökat kvarboende.</w:t>
      </w:r>
      <w:r w:rsidR="007C743C" w:rsidRPr="00A71043">
        <w:rPr>
          <w:b w:val="0"/>
          <w:i/>
        </w:rPr>
        <w:t xml:space="preserve"> </w:t>
      </w:r>
      <w:r w:rsidR="007C743C" w:rsidRPr="00A71043">
        <w:rPr>
          <w:b w:val="0"/>
        </w:rPr>
        <w:t xml:space="preserve">Hjälpmedel är viktiga </w:t>
      </w:r>
      <w:r w:rsidRPr="00A71043">
        <w:rPr>
          <w:b w:val="0"/>
        </w:rPr>
        <w:t>för</w:t>
      </w:r>
      <w:r w:rsidR="007C743C" w:rsidRPr="00A71043">
        <w:rPr>
          <w:b w:val="0"/>
        </w:rPr>
        <w:t xml:space="preserve"> vård och omsorg och ofta kritiska för att k</w:t>
      </w:r>
      <w:r w:rsidR="006F16B4" w:rsidRPr="00A71043">
        <w:rPr>
          <w:b w:val="0"/>
        </w:rPr>
        <w:t>unna</w:t>
      </w:r>
      <w:r w:rsidR="007C743C" w:rsidRPr="00A71043">
        <w:rPr>
          <w:b w:val="0"/>
        </w:rPr>
        <w:t xml:space="preserve"> bo kvar hemma och för dem som sköter sin egen eller närståendes vård.</w:t>
      </w:r>
      <w:r w:rsidR="007C743C" w:rsidRPr="00A71043">
        <w:rPr>
          <w:b w:val="0"/>
          <w:i/>
          <w:color w:val="A6A6A6"/>
        </w:rPr>
        <w:t xml:space="preserve">  </w:t>
      </w:r>
    </w:p>
    <w:p w:rsidR="005C4639" w:rsidRPr="005C4639" w:rsidRDefault="005C4639" w:rsidP="005C4639">
      <w:pPr>
        <w:pStyle w:val="Brdtext"/>
        <w:spacing w:line="276" w:lineRule="auto"/>
      </w:pPr>
    </w:p>
    <w:p w:rsidR="00A71043" w:rsidRDefault="00A71043" w:rsidP="005C4639">
      <w:pPr>
        <w:pStyle w:val="Rubrik2"/>
        <w:spacing w:before="0" w:line="276" w:lineRule="auto"/>
        <w:rPr>
          <w:b w:val="0"/>
        </w:rPr>
      </w:pPr>
      <w:r w:rsidRPr="00A71043">
        <w:rPr>
          <w:b w:val="0"/>
        </w:rPr>
        <w:t>Hjälpmedelscentrum arbetar proaktivt för att informera om förebyggande egenvård</w:t>
      </w:r>
      <w:r w:rsidRPr="003A71ED">
        <w:rPr>
          <w:b w:val="0"/>
        </w:rPr>
        <w:t xml:space="preserve"> och om hjälpmedel för att möta </w:t>
      </w:r>
      <w:r>
        <w:rPr>
          <w:b w:val="0"/>
        </w:rPr>
        <w:t>såväl personers behov som</w:t>
      </w:r>
      <w:r w:rsidRPr="003A71ED">
        <w:rPr>
          <w:b w:val="0"/>
        </w:rPr>
        <w:t xml:space="preserve"> förskrivare</w:t>
      </w:r>
      <w:r>
        <w:rPr>
          <w:b w:val="0"/>
        </w:rPr>
        <w:t>s</w:t>
      </w:r>
      <w:r w:rsidRPr="003A71ED">
        <w:rPr>
          <w:b w:val="0"/>
        </w:rPr>
        <w:t xml:space="preserve"> och vård</w:t>
      </w:r>
      <w:r>
        <w:rPr>
          <w:b w:val="0"/>
        </w:rPr>
        <w:t>-</w:t>
      </w:r>
      <w:r w:rsidRPr="003A71ED">
        <w:rPr>
          <w:b w:val="0"/>
        </w:rPr>
        <w:t xml:space="preserve"> och omsorgspersonals kompetensbehov.</w:t>
      </w:r>
      <w:r>
        <w:rPr>
          <w:b w:val="0"/>
        </w:rPr>
        <w:t xml:space="preserve"> </w:t>
      </w:r>
    </w:p>
    <w:p w:rsidR="00DB1E0D" w:rsidRDefault="00DB1E0D" w:rsidP="005C4639">
      <w:pPr>
        <w:spacing w:after="0"/>
      </w:pPr>
    </w:p>
    <w:p w:rsidR="00DB1E0D" w:rsidRDefault="00DB1E0D" w:rsidP="005C4639">
      <w:pPr>
        <w:spacing w:after="0"/>
      </w:pPr>
      <w:r>
        <w:t>A</w:t>
      </w:r>
      <w:r w:rsidRPr="00265097">
        <w:t xml:space="preserve">ntalet beställningar och utprovningar </w:t>
      </w:r>
      <w:r>
        <w:t xml:space="preserve">har </w:t>
      </w:r>
      <w:r w:rsidRPr="00265097">
        <w:t xml:space="preserve">ökat. Tillgängligheten har förbättrats till utprovning och överträffar </w:t>
      </w:r>
      <w:r>
        <w:t xml:space="preserve">liksom tidigare </w:t>
      </w:r>
      <w:r w:rsidRPr="00265097">
        <w:t>målet gäl</w:t>
      </w:r>
      <w:r>
        <w:t>lande logistik och service/repa</w:t>
      </w:r>
      <w:r w:rsidRPr="00265097">
        <w:t>rationer</w:t>
      </w:r>
      <w:r>
        <w:t xml:space="preserve">. </w:t>
      </w:r>
    </w:p>
    <w:p w:rsidR="00DB1E0D" w:rsidRDefault="00DB1E0D" w:rsidP="005C4639">
      <w:pPr>
        <w:spacing w:after="0"/>
      </w:pPr>
    </w:p>
    <w:p w:rsidR="007C743C" w:rsidRDefault="007C743C" w:rsidP="005C4639">
      <w:pPr>
        <w:spacing w:after="0"/>
      </w:pPr>
      <w:r>
        <w:t>A</w:t>
      </w:r>
      <w:r w:rsidRPr="000562DB">
        <w:t xml:space="preserve">ntalet uthyrda individhjälpmedel </w:t>
      </w:r>
      <w:r>
        <w:t xml:space="preserve">har </w:t>
      </w:r>
      <w:r w:rsidRPr="000562DB">
        <w:t xml:space="preserve">ökat med </w:t>
      </w:r>
      <w:r w:rsidR="00B14FA8" w:rsidRPr="0009513C">
        <w:t>5,0</w:t>
      </w:r>
      <w:r w:rsidRPr="0009513C">
        <w:t xml:space="preserve"> % och antalet uthyrda huvudhjälpmedel med </w:t>
      </w:r>
      <w:r w:rsidR="00B14FA8" w:rsidRPr="0009513C">
        <w:t>4,3</w:t>
      </w:r>
      <w:r w:rsidRPr="0009513C">
        <w:t xml:space="preserve"> %</w:t>
      </w:r>
      <w:r w:rsidRPr="000562DB">
        <w:t xml:space="preserve"> jämfört med 2016.</w:t>
      </w:r>
    </w:p>
    <w:p w:rsidR="00DB1E0D" w:rsidRDefault="00DB1E0D" w:rsidP="005C4639">
      <w:pPr>
        <w:spacing w:after="0"/>
      </w:pPr>
    </w:p>
    <w:p w:rsidR="00DB1E0D" w:rsidRDefault="00DB1E0D" w:rsidP="005C4639">
      <w:pPr>
        <w:pStyle w:val="Brdtext"/>
        <w:spacing w:line="276" w:lineRule="auto"/>
      </w:pPr>
      <w:r>
        <w:t>Flera processförbättringar har genomförts. Införandet av medicinska behandlingshjälpmedel har skett enligt plan. Patientsäkerhetsarbetet går framåt.</w:t>
      </w:r>
    </w:p>
    <w:p w:rsidR="007C743C" w:rsidRPr="000562DB" w:rsidRDefault="000F5A39" w:rsidP="005C4639">
      <w:pPr>
        <w:pStyle w:val="Brdtext"/>
        <w:spacing w:line="276" w:lineRule="auto"/>
      </w:pPr>
      <w:r>
        <w:t xml:space="preserve">Förstärkning av organisation och bemanning har skett för att kunna leverera i enlighet med behov. </w:t>
      </w:r>
    </w:p>
    <w:p w:rsidR="007C743C" w:rsidRPr="007C743C" w:rsidRDefault="007C743C" w:rsidP="005C4639">
      <w:pPr>
        <w:spacing w:after="0"/>
        <w:ind w:right="-143"/>
        <w:rPr>
          <w:rFonts w:cs="Calibri"/>
        </w:rPr>
      </w:pPr>
      <w:r w:rsidRPr="007C743C">
        <w:rPr>
          <w:rFonts w:cs="Calibri"/>
        </w:rPr>
        <w:t xml:space="preserve">Bokslutet visar ett positivt utfall på </w:t>
      </w:r>
      <w:r w:rsidR="00147B53">
        <w:rPr>
          <w:rFonts w:cs="Calibri"/>
        </w:rPr>
        <w:t>3 416</w:t>
      </w:r>
      <w:r w:rsidR="006F16B4">
        <w:rPr>
          <w:rFonts w:cs="Calibri"/>
        </w:rPr>
        <w:t xml:space="preserve"> </w:t>
      </w:r>
      <w:r w:rsidRPr="007C743C">
        <w:rPr>
          <w:rFonts w:cs="Calibri"/>
        </w:rPr>
        <w:t xml:space="preserve">tkr före återbetalning och resultatreglering. </w:t>
      </w:r>
    </w:p>
    <w:p w:rsidR="007C743C" w:rsidRPr="007C743C" w:rsidRDefault="007C743C" w:rsidP="007C743C">
      <w:pPr>
        <w:spacing w:after="0" w:line="240" w:lineRule="auto"/>
      </w:pPr>
    </w:p>
    <w:p w:rsidR="005C4639" w:rsidRDefault="007C743C" w:rsidP="005C4639">
      <w:pPr>
        <w:spacing w:after="0"/>
      </w:pPr>
      <w:r w:rsidRPr="00175B9A">
        <w:rPr>
          <w:b/>
        </w:rPr>
        <w:t>Framtidsbedömning</w:t>
      </w:r>
      <w:r w:rsidRPr="00204A1A">
        <w:rPr>
          <w:b/>
          <w:color w:val="A6A6A6"/>
        </w:rPr>
        <w:br/>
      </w:r>
      <w:r w:rsidR="006804EF">
        <w:t>De allt kortare vårdtiderna och den snabba medicinsk</w:t>
      </w:r>
      <w:r w:rsidR="000F5A39">
        <w:t>a</w:t>
      </w:r>
      <w:r w:rsidR="006804EF">
        <w:t xml:space="preserve"> utveckling</w:t>
      </w:r>
      <w:r w:rsidR="000F5A39">
        <w:t>en</w:t>
      </w:r>
      <w:r w:rsidR="006804EF">
        <w:t xml:space="preserve"> gör att allt flera behov klaras i öppenvård </w:t>
      </w:r>
      <w:r w:rsidR="000F5A39">
        <w:t xml:space="preserve">och </w:t>
      </w:r>
      <w:r w:rsidR="006804EF">
        <w:t xml:space="preserve">med egenvård i hemmet. Tillgången till och användandet av </w:t>
      </w:r>
      <w:r>
        <w:t>medicinsk teknik</w:t>
      </w:r>
      <w:r w:rsidR="006804EF">
        <w:t xml:space="preserve"> </w:t>
      </w:r>
      <w:r w:rsidR="007C3444">
        <w:t>är vital</w:t>
      </w:r>
      <w:r w:rsidR="006804EF">
        <w:t xml:space="preserve"> </w:t>
      </w:r>
      <w:r w:rsidR="00673BEC">
        <w:t xml:space="preserve">för </w:t>
      </w:r>
      <w:r w:rsidR="006F16B4">
        <w:t xml:space="preserve">både </w:t>
      </w:r>
      <w:r w:rsidR="00673BEC">
        <w:t>patientsäkerhet</w:t>
      </w:r>
      <w:r w:rsidR="00B9111B">
        <w:t xml:space="preserve"> och </w:t>
      </w:r>
      <w:r w:rsidR="006F16B4">
        <w:t>arbetsmiljön</w:t>
      </w:r>
      <w:r w:rsidR="00673BEC">
        <w:t>.</w:t>
      </w:r>
      <w:r>
        <w:t xml:space="preserve"> </w:t>
      </w:r>
    </w:p>
    <w:p w:rsidR="005C4639" w:rsidRDefault="005C4639" w:rsidP="005C4639">
      <w:pPr>
        <w:spacing w:after="0"/>
      </w:pPr>
    </w:p>
    <w:p w:rsidR="007C743C" w:rsidRDefault="006804EF" w:rsidP="005C4639">
      <w:pPr>
        <w:spacing w:after="0"/>
      </w:pPr>
      <w:r>
        <w:t xml:space="preserve">Under 2018-2020 kommer införandet av </w:t>
      </w:r>
      <w:r w:rsidR="0099745E">
        <w:t xml:space="preserve">fler </w:t>
      </w:r>
      <w:r>
        <w:t>medicinska behandlingshjälpmedel medför produktionsökningar</w:t>
      </w:r>
      <w:r w:rsidR="003B08C6">
        <w:t>,</w:t>
      </w:r>
      <w:r>
        <w:t xml:space="preserve"> </w:t>
      </w:r>
      <w:r w:rsidR="007C743C">
        <w:t>förbättringar</w:t>
      </w:r>
      <w:r w:rsidR="007C743C" w:rsidRPr="00204A1A">
        <w:t xml:space="preserve"> för personer </w:t>
      </w:r>
      <w:r>
        <w:t>i behov av</w:t>
      </w:r>
      <w:r w:rsidR="007C743C" w:rsidRPr="00204A1A">
        <w:t xml:space="preserve"> hjälpmedel</w:t>
      </w:r>
      <w:r>
        <w:t xml:space="preserve"> samtidigt som</w:t>
      </w:r>
      <w:r w:rsidR="007C743C">
        <w:t xml:space="preserve"> </w:t>
      </w:r>
      <w:r w:rsidR="00673BEC">
        <w:t xml:space="preserve">vårdpersonal </w:t>
      </w:r>
      <w:r w:rsidR="007C743C">
        <w:t>avlastas</w:t>
      </w:r>
      <w:r w:rsidR="007C743C" w:rsidRPr="00204A1A">
        <w:t xml:space="preserve">.  </w:t>
      </w:r>
      <w:r w:rsidR="005C4639">
        <w:t xml:space="preserve">Ur ett samhällsperspektiv är det också kostnadseffektivt. </w:t>
      </w:r>
    </w:p>
    <w:p w:rsidR="005C4639" w:rsidRDefault="005C4639" w:rsidP="005C4639">
      <w:pPr>
        <w:spacing w:after="0"/>
      </w:pPr>
    </w:p>
    <w:p w:rsidR="007C743C" w:rsidRDefault="006804EF" w:rsidP="005C4639">
      <w:pPr>
        <w:spacing w:after="0"/>
      </w:pPr>
      <w:r>
        <w:t xml:space="preserve">Inom hjälpmedelsområdet blir digitalisering </w:t>
      </w:r>
      <w:r w:rsidR="005C4639">
        <w:t>allt</w:t>
      </w:r>
      <w:r w:rsidR="007C743C" w:rsidRPr="00204A1A">
        <w:t xml:space="preserve"> vanligare</w:t>
      </w:r>
      <w:r w:rsidR="005C4639">
        <w:t xml:space="preserve"> i hjälpmedlen. D</w:t>
      </w:r>
      <w:r w:rsidR="006F16B4">
        <w:t xml:space="preserve">et ställer krav på </w:t>
      </w:r>
      <w:r>
        <w:t xml:space="preserve">digital </w:t>
      </w:r>
      <w:r w:rsidR="007C743C" w:rsidRPr="00204A1A">
        <w:t>kompetens hos medarbetare i såväl kommun som region.</w:t>
      </w:r>
      <w:r w:rsidR="00673BEC">
        <w:t xml:space="preserve"> </w:t>
      </w:r>
      <w:r w:rsidR="004A0125">
        <w:t xml:space="preserve">Införandet av digitala hjälpmedel ställer </w:t>
      </w:r>
      <w:r w:rsidR="005C4639">
        <w:t xml:space="preserve">också </w:t>
      </w:r>
      <w:r w:rsidR="004A0125">
        <w:t xml:space="preserve">nya säkerhetskrav som måste beaktas. </w:t>
      </w:r>
    </w:p>
    <w:p w:rsidR="00673BEC" w:rsidRDefault="003146F6" w:rsidP="00673BEC">
      <w:pPr>
        <w:spacing w:before="240" w:line="240" w:lineRule="auto"/>
      </w:pPr>
      <w:r>
        <w:t xml:space="preserve">Med snabb medicinteknisk utveckling ökar också behovet av </w:t>
      </w:r>
      <w:r w:rsidR="0010171A">
        <w:t>samordn</w:t>
      </w:r>
      <w:r w:rsidR="0051163C">
        <w:t>at införande</w:t>
      </w:r>
      <w:r>
        <w:t xml:space="preserve"> av nya medicintekniska produkter och metoder</w:t>
      </w:r>
      <w:r w:rsidR="0051163C">
        <w:t xml:space="preserve"> för</w:t>
      </w:r>
      <w:r>
        <w:t xml:space="preserve"> en jämlik tillgång till ändamålsenliga</w:t>
      </w:r>
      <w:r w:rsidR="00B9111B">
        <w:t>,</w:t>
      </w:r>
      <w:r>
        <w:t xml:space="preserve"> kostnadseffektiva och </w:t>
      </w:r>
      <w:r w:rsidR="000F5A39">
        <w:t>s</w:t>
      </w:r>
      <w:r>
        <w:t>äkra medicintekniska metoder</w:t>
      </w:r>
      <w:r w:rsidR="00673BEC">
        <w:t xml:space="preserve">. </w:t>
      </w:r>
    </w:p>
    <w:p w:rsidR="009B704D" w:rsidRDefault="009B704D" w:rsidP="009B704D">
      <w:pPr>
        <w:pStyle w:val="Rubrik1"/>
      </w:pPr>
      <w:r>
        <w:lastRenderedPageBreak/>
        <w:t>invånare</w:t>
      </w:r>
      <w:r w:rsidRPr="006B7CC8">
        <w:t>/patientperspe</w:t>
      </w:r>
      <w:r>
        <w:t>ktiv</w:t>
      </w:r>
    </w:p>
    <w:p w:rsidR="009B704D" w:rsidRDefault="009B704D" w:rsidP="009B704D">
      <w:pPr>
        <w:pStyle w:val="Rubrik2"/>
      </w:pPr>
      <w:r>
        <w:t>Perspektivets processmål och löpande uppföljning omfattar följande indikatorer: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827"/>
        <w:gridCol w:w="1134"/>
        <w:gridCol w:w="1559"/>
        <w:gridCol w:w="992"/>
      </w:tblGrid>
      <w:tr w:rsidR="009B704D" w:rsidRPr="006B1E06" w:rsidTr="00D81FF6">
        <w:tc>
          <w:tcPr>
            <w:tcW w:w="2235" w:type="dxa"/>
            <w:shd w:val="clear" w:color="auto" w:fill="B4C6E7" w:themeFill="accent5" w:themeFillTint="66"/>
          </w:tcPr>
          <w:p w:rsidR="009B704D" w:rsidRPr="00A47895" w:rsidRDefault="009B704D" w:rsidP="00841BED">
            <w:pPr>
              <w:pStyle w:val="Tabelltext"/>
            </w:pPr>
            <w:r w:rsidRPr="00A47895">
              <w:t>Mål</w:t>
            </w:r>
          </w:p>
        </w:tc>
        <w:tc>
          <w:tcPr>
            <w:tcW w:w="3827" w:type="dxa"/>
            <w:shd w:val="clear" w:color="auto" w:fill="B4C6E7" w:themeFill="accent5" w:themeFillTint="66"/>
          </w:tcPr>
          <w:p w:rsidR="009B704D" w:rsidRPr="006B1E06" w:rsidRDefault="009B704D" w:rsidP="00841BED">
            <w:pPr>
              <w:pStyle w:val="Tabelltext"/>
              <w:rPr>
                <w:b/>
              </w:rPr>
            </w:pPr>
            <w:r>
              <w:rPr>
                <w:b/>
              </w:rPr>
              <w:t>Indikator</w:t>
            </w:r>
          </w:p>
        </w:tc>
        <w:tc>
          <w:tcPr>
            <w:tcW w:w="1134" w:type="dxa"/>
            <w:shd w:val="clear" w:color="auto" w:fill="B4C6E7" w:themeFill="accent5" w:themeFillTint="66"/>
          </w:tcPr>
          <w:p w:rsidR="009B704D" w:rsidRPr="006B1E06" w:rsidRDefault="009B704D" w:rsidP="00841BED">
            <w:pPr>
              <w:pStyle w:val="Tabelltext"/>
              <w:rPr>
                <w:b/>
              </w:rPr>
            </w:pPr>
            <w:r w:rsidRPr="006B1E06">
              <w:rPr>
                <w:b/>
              </w:rPr>
              <w:t xml:space="preserve">Målvärde </w:t>
            </w:r>
            <w:r w:rsidR="005E4C09">
              <w:rPr>
                <w:b/>
              </w:rPr>
              <w:br/>
            </w:r>
            <w:r w:rsidRPr="006B1E06">
              <w:rPr>
                <w:b/>
              </w:rPr>
              <w:t>2017</w:t>
            </w:r>
          </w:p>
        </w:tc>
        <w:tc>
          <w:tcPr>
            <w:tcW w:w="1559" w:type="dxa"/>
            <w:shd w:val="clear" w:color="auto" w:fill="B4C6E7" w:themeFill="accent5" w:themeFillTint="66"/>
          </w:tcPr>
          <w:p w:rsidR="009B704D" w:rsidRPr="006B1E06" w:rsidRDefault="009B704D" w:rsidP="00841BED">
            <w:pPr>
              <w:pStyle w:val="Tabelltext"/>
              <w:rPr>
                <w:b/>
              </w:rPr>
            </w:pPr>
            <w:r w:rsidRPr="006B1E06">
              <w:rPr>
                <w:b/>
              </w:rPr>
              <w:t xml:space="preserve">Rapporteras </w:t>
            </w:r>
          </w:p>
        </w:tc>
        <w:tc>
          <w:tcPr>
            <w:tcW w:w="992" w:type="dxa"/>
            <w:shd w:val="clear" w:color="auto" w:fill="B4C6E7" w:themeFill="accent5" w:themeFillTint="66"/>
          </w:tcPr>
          <w:p w:rsidR="009B704D" w:rsidRPr="006B1E06" w:rsidRDefault="009B704D" w:rsidP="00841BED">
            <w:pPr>
              <w:pStyle w:val="Tabelltext"/>
              <w:rPr>
                <w:b/>
              </w:rPr>
            </w:pPr>
            <w:r w:rsidRPr="006B1E06">
              <w:rPr>
                <w:b/>
              </w:rPr>
              <w:t>Utfall 2017</w:t>
            </w:r>
          </w:p>
        </w:tc>
      </w:tr>
      <w:tr w:rsidR="009B704D" w:rsidTr="00A9290C">
        <w:tc>
          <w:tcPr>
            <w:tcW w:w="2235" w:type="dxa"/>
            <w:shd w:val="clear" w:color="auto" w:fill="auto"/>
          </w:tcPr>
          <w:p w:rsidR="009B704D" w:rsidRPr="006B1E06" w:rsidRDefault="009B704D" w:rsidP="000C6D52">
            <w:pPr>
              <w:pStyle w:val="Tabelltext"/>
              <w:rPr>
                <w:sz w:val="18"/>
                <w:szCs w:val="18"/>
              </w:rPr>
            </w:pPr>
            <w:r>
              <w:rPr>
                <w:sz w:val="18"/>
                <w:szCs w:val="18"/>
              </w:rPr>
              <w:t>God patientnöjdhet och delaktighet</w:t>
            </w:r>
          </w:p>
        </w:tc>
        <w:tc>
          <w:tcPr>
            <w:tcW w:w="3827" w:type="dxa"/>
            <w:shd w:val="clear" w:color="auto" w:fill="auto"/>
          </w:tcPr>
          <w:p w:rsidR="009B704D" w:rsidRPr="006B1E06" w:rsidRDefault="009B704D" w:rsidP="000C6D52">
            <w:pPr>
              <w:pStyle w:val="Tabelltext"/>
              <w:rPr>
                <w:sz w:val="18"/>
                <w:szCs w:val="18"/>
              </w:rPr>
            </w:pPr>
            <w:r>
              <w:rPr>
                <w:sz w:val="18"/>
                <w:szCs w:val="18"/>
              </w:rPr>
              <w:t>Enkätundersökning</w:t>
            </w:r>
          </w:p>
        </w:tc>
        <w:tc>
          <w:tcPr>
            <w:tcW w:w="1134" w:type="dxa"/>
            <w:shd w:val="clear" w:color="auto" w:fill="auto"/>
          </w:tcPr>
          <w:p w:rsidR="009B704D" w:rsidRPr="006B1E06" w:rsidRDefault="009B704D" w:rsidP="000C6D52">
            <w:pPr>
              <w:pStyle w:val="Tabelltext"/>
              <w:rPr>
                <w:sz w:val="18"/>
                <w:szCs w:val="18"/>
              </w:rPr>
            </w:pPr>
            <w:r>
              <w:rPr>
                <w:sz w:val="18"/>
                <w:szCs w:val="18"/>
              </w:rPr>
              <w:t>&gt;90%</w:t>
            </w:r>
          </w:p>
        </w:tc>
        <w:tc>
          <w:tcPr>
            <w:tcW w:w="1559" w:type="dxa"/>
            <w:shd w:val="clear" w:color="auto" w:fill="auto"/>
          </w:tcPr>
          <w:p w:rsidR="009B704D" w:rsidRPr="006B1E06" w:rsidRDefault="009B704D" w:rsidP="000C6D52">
            <w:pPr>
              <w:pStyle w:val="Tabelltext"/>
              <w:rPr>
                <w:sz w:val="18"/>
                <w:szCs w:val="18"/>
              </w:rPr>
            </w:pPr>
            <w:r w:rsidRPr="006B1E06">
              <w:rPr>
                <w:sz w:val="18"/>
                <w:szCs w:val="18"/>
              </w:rPr>
              <w:t>ÅR</w:t>
            </w:r>
          </w:p>
        </w:tc>
        <w:tc>
          <w:tcPr>
            <w:tcW w:w="992" w:type="dxa"/>
            <w:shd w:val="clear" w:color="auto" w:fill="auto"/>
          </w:tcPr>
          <w:p w:rsidR="009B704D" w:rsidRPr="006B1E06" w:rsidRDefault="006F16B4" w:rsidP="000C6D52">
            <w:pPr>
              <w:pStyle w:val="Tabelltext"/>
              <w:rPr>
                <w:sz w:val="18"/>
                <w:szCs w:val="18"/>
              </w:rPr>
            </w:pPr>
            <w:r>
              <w:rPr>
                <w:sz w:val="18"/>
                <w:szCs w:val="18"/>
              </w:rPr>
              <w:t>97</w:t>
            </w:r>
            <w:r w:rsidR="00B315CE">
              <w:rPr>
                <w:sz w:val="18"/>
                <w:szCs w:val="18"/>
              </w:rPr>
              <w:t xml:space="preserve"> %, </w:t>
            </w:r>
            <w:r w:rsidR="00B315CE">
              <w:rPr>
                <w:sz w:val="18"/>
                <w:szCs w:val="18"/>
              </w:rPr>
              <w:br/>
              <w:t>89 %</w:t>
            </w:r>
          </w:p>
        </w:tc>
      </w:tr>
    </w:tbl>
    <w:p w:rsidR="009B704D" w:rsidRPr="00841BED" w:rsidRDefault="009B704D" w:rsidP="009B704D">
      <w:pPr>
        <w:pStyle w:val="Brdtext"/>
        <w:rPr>
          <w:color w:val="A6A6A6"/>
        </w:rPr>
      </w:pPr>
    </w:p>
    <w:p w:rsidR="009B704D" w:rsidRPr="00B917B7" w:rsidRDefault="009B704D" w:rsidP="009B704D">
      <w:pPr>
        <w:pStyle w:val="Rubrik2"/>
        <w:numPr>
          <w:ilvl w:val="1"/>
          <w:numId w:val="0"/>
        </w:numPr>
        <w:ind w:left="851" w:hanging="851"/>
      </w:pPr>
      <w:r>
        <w:t>A</w:t>
      </w:r>
      <w:r w:rsidRPr="00B917B7">
        <w:t xml:space="preserve">rbetet mot mål och uppdrag </w:t>
      </w:r>
      <w:r>
        <w:t>– resultat och analys av aktiviteter och indikatorer</w:t>
      </w:r>
    </w:p>
    <w:p w:rsidR="0045305B" w:rsidRDefault="00D4774D" w:rsidP="00B820CB">
      <w:pPr>
        <w:pStyle w:val="Rubrik3"/>
        <w:spacing w:line="276" w:lineRule="auto"/>
      </w:pPr>
      <w:bookmarkStart w:id="1" w:name="_Toc472420597"/>
      <w:bookmarkStart w:id="2" w:name="_Toc472420596"/>
      <w:r w:rsidRPr="000C6D52">
        <w:rPr>
          <w:i w:val="0"/>
        </w:rPr>
        <w:t>God upplevd nöjdhet vid besök på Hjälpmedelscentrum</w:t>
      </w:r>
      <w:r w:rsidRPr="000C6D52">
        <w:t xml:space="preserve"> </w:t>
      </w:r>
      <w:r w:rsidRPr="00E82070">
        <w:rPr>
          <w:color w:val="FF0000"/>
        </w:rPr>
        <w:br/>
      </w:r>
      <w:r w:rsidRPr="00D4774D">
        <w:rPr>
          <w:b w:val="0"/>
          <w:i w:val="0"/>
        </w:rPr>
        <w:t>En enkätundersökning har genomförts för att undersöka nöjdheten</w:t>
      </w:r>
      <w:r w:rsidR="006870F6">
        <w:rPr>
          <w:b w:val="0"/>
          <w:i w:val="0"/>
        </w:rPr>
        <w:t xml:space="preserve"> hos besöka</w:t>
      </w:r>
      <w:r w:rsidR="00F51979">
        <w:rPr>
          <w:b w:val="0"/>
          <w:i w:val="0"/>
        </w:rPr>
        <w:t>re</w:t>
      </w:r>
      <w:r w:rsidR="006870F6">
        <w:rPr>
          <w:b w:val="0"/>
          <w:i w:val="0"/>
        </w:rPr>
        <w:t xml:space="preserve"> på Hjälpmedelscentrum</w:t>
      </w:r>
      <w:r w:rsidRPr="00D4774D">
        <w:rPr>
          <w:b w:val="0"/>
          <w:i w:val="0"/>
        </w:rPr>
        <w:t xml:space="preserve">. Resultatet visar att </w:t>
      </w:r>
      <w:bookmarkEnd w:id="1"/>
      <w:r w:rsidRPr="00D4774D">
        <w:rPr>
          <w:b w:val="0"/>
          <w:i w:val="0"/>
        </w:rPr>
        <w:t>97 % är nöjda med bemötandet</w:t>
      </w:r>
      <w:r w:rsidR="006870F6">
        <w:rPr>
          <w:b w:val="0"/>
          <w:i w:val="0"/>
        </w:rPr>
        <w:t xml:space="preserve"> och 89 % </w:t>
      </w:r>
      <w:r w:rsidR="00F51979">
        <w:rPr>
          <w:b w:val="0"/>
          <w:i w:val="0"/>
        </w:rPr>
        <w:t>har</w:t>
      </w:r>
      <w:r w:rsidR="006870F6">
        <w:rPr>
          <w:b w:val="0"/>
          <w:i w:val="0"/>
        </w:rPr>
        <w:t xml:space="preserve"> helt eller delvis </w:t>
      </w:r>
      <w:r w:rsidR="00F51979">
        <w:rPr>
          <w:b w:val="0"/>
          <w:i w:val="0"/>
        </w:rPr>
        <w:t xml:space="preserve">varit </w:t>
      </w:r>
      <w:r w:rsidR="006870F6">
        <w:rPr>
          <w:b w:val="0"/>
          <w:i w:val="0"/>
        </w:rPr>
        <w:t>dela</w:t>
      </w:r>
      <w:r w:rsidR="00965059">
        <w:rPr>
          <w:b w:val="0"/>
          <w:i w:val="0"/>
        </w:rPr>
        <w:t xml:space="preserve">ktiga vid valet av hjälpmedel. </w:t>
      </w:r>
      <w:r w:rsidR="006870F6">
        <w:rPr>
          <w:b w:val="0"/>
          <w:i w:val="0"/>
        </w:rPr>
        <w:t xml:space="preserve">11 % har svarat att de inte har varit delaktiga vid valet av hjälpmedel. </w:t>
      </w:r>
    </w:p>
    <w:p w:rsidR="0045305B" w:rsidRPr="003E1F15" w:rsidRDefault="0045305B" w:rsidP="00B820CB">
      <w:pPr>
        <w:pStyle w:val="Brdtext"/>
        <w:spacing w:line="276" w:lineRule="auto"/>
      </w:pPr>
      <w:r w:rsidRPr="003E1F15">
        <w:t>Förskrivarutbildning</w:t>
      </w:r>
      <w:r w:rsidR="00965059">
        <w:t xml:space="preserve"> G</w:t>
      </w:r>
      <w:r>
        <w:t>rund</w:t>
      </w:r>
      <w:r w:rsidRPr="003E1F15">
        <w:t xml:space="preserve"> har </w:t>
      </w:r>
      <w:r>
        <w:t>uppdaterats</w:t>
      </w:r>
      <w:r w:rsidRPr="003E1F15">
        <w:t xml:space="preserve"> och kompletterats med information om delaktighet vid valet av hjälpmedel och </w:t>
      </w:r>
      <w:r w:rsidR="00965059">
        <w:t xml:space="preserve">med </w:t>
      </w:r>
      <w:r w:rsidRPr="003E1F15">
        <w:t>Socialstyrelsens web</w:t>
      </w:r>
      <w:r>
        <w:t>b-</w:t>
      </w:r>
      <w:r w:rsidRPr="003E1F15">
        <w:t>utbildning.</w:t>
      </w:r>
    </w:p>
    <w:p w:rsidR="00D4774D" w:rsidRPr="00841BED" w:rsidRDefault="00D4774D" w:rsidP="00B820CB">
      <w:pPr>
        <w:pStyle w:val="Rubrik3"/>
        <w:spacing w:line="240" w:lineRule="auto"/>
        <w:rPr>
          <w:i w:val="0"/>
        </w:rPr>
      </w:pPr>
      <w:r w:rsidRPr="0058494E">
        <w:rPr>
          <w:i w:val="0"/>
        </w:rPr>
        <w:t xml:space="preserve">Stöd till utveckling av hjälpmedels potential, för kvarboende och vård och omsorg i hemmet och för införandet av nya hjälpmedel och välfärdsteknik </w:t>
      </w:r>
    </w:p>
    <w:p w:rsidR="00F51979" w:rsidRDefault="00D4774D" w:rsidP="00B820CB">
      <w:pPr>
        <w:spacing w:after="120"/>
      </w:pPr>
      <w:r w:rsidRPr="00841BED">
        <w:t xml:space="preserve">Innovationsteamet har tagit fram en </w:t>
      </w:r>
      <w:r w:rsidR="0009513C" w:rsidRPr="00841BED">
        <w:t>process</w:t>
      </w:r>
      <w:r w:rsidRPr="00841BED">
        <w:t xml:space="preserve"> för </w:t>
      </w:r>
      <w:r w:rsidR="00F51979" w:rsidRPr="00841BED">
        <w:t>i</w:t>
      </w:r>
      <w:r w:rsidR="00645F5C" w:rsidRPr="00841BED">
        <w:t>mplem</w:t>
      </w:r>
      <w:r w:rsidR="00645F5C">
        <w:t>entering av n</w:t>
      </w:r>
      <w:r w:rsidRPr="00D4774D">
        <w:t>ya hjälpmedel</w:t>
      </w:r>
      <w:r w:rsidR="0009513C">
        <w:t>. S</w:t>
      </w:r>
      <w:r w:rsidRPr="00D4774D">
        <w:t>amarbet</w:t>
      </w:r>
      <w:r w:rsidR="0009513C">
        <w:t>e</w:t>
      </w:r>
      <w:r w:rsidR="00645F5C">
        <w:t>t</w:t>
      </w:r>
      <w:r w:rsidR="0009513C">
        <w:t xml:space="preserve"> </w:t>
      </w:r>
      <w:r w:rsidRPr="00D4774D">
        <w:t>med Region Västmanland, Västerås Science Park och Mälardalens högskola</w:t>
      </w:r>
      <w:r w:rsidR="00F51979">
        <w:t xml:space="preserve"> fortgår och </w:t>
      </w:r>
      <w:r w:rsidRPr="00D4774D">
        <w:t xml:space="preserve">information </w:t>
      </w:r>
      <w:r w:rsidR="00F51979">
        <w:t>ges om nya hjälpmedel till</w:t>
      </w:r>
      <w:r w:rsidRPr="00D4774D">
        <w:t xml:space="preserve"> bl</w:t>
      </w:r>
      <w:r w:rsidR="00965059">
        <w:t>and annat</w:t>
      </w:r>
      <w:r w:rsidRPr="00D4774D">
        <w:t xml:space="preserve"> förskrivare, intresseorganisationer</w:t>
      </w:r>
      <w:r w:rsidR="00645F5C">
        <w:t xml:space="preserve"> och </w:t>
      </w:r>
      <w:r w:rsidRPr="00D4774D">
        <w:t xml:space="preserve">innovatörer. </w:t>
      </w:r>
    </w:p>
    <w:p w:rsidR="009810ED" w:rsidRPr="003E1F15" w:rsidRDefault="00F51979" w:rsidP="00B820CB">
      <w:pPr>
        <w:spacing w:after="120"/>
      </w:pPr>
      <w:r>
        <w:rPr>
          <w:rFonts w:cs="Calibri"/>
          <w:bCs/>
        </w:rPr>
        <w:t xml:space="preserve">47 studiebesök i </w:t>
      </w:r>
      <w:r w:rsidR="009B2D24">
        <w:rPr>
          <w:rFonts w:cs="Calibri"/>
          <w:bCs/>
        </w:rPr>
        <w:t xml:space="preserve">vår </w:t>
      </w:r>
      <w:r>
        <w:rPr>
          <w:rFonts w:cs="Calibri"/>
          <w:bCs/>
        </w:rPr>
        <w:t>utställning har genomförts</w:t>
      </w:r>
      <w:r w:rsidR="00D4774D" w:rsidRPr="00D4774D">
        <w:t>.</w:t>
      </w:r>
      <w:r w:rsidR="0058494E" w:rsidRPr="003E1F15">
        <w:rPr>
          <w:rFonts w:cs="Calibri"/>
          <w:bCs/>
        </w:rPr>
        <w:t xml:space="preserve"> På hjälpmedelsdagen visades kognitiva hjälpmedel på Stadsbiblioteket i Västerås. Hjälpmedelscentrum delt</w:t>
      </w:r>
      <w:r>
        <w:rPr>
          <w:rFonts w:cs="Calibri"/>
          <w:bCs/>
        </w:rPr>
        <w:t>og också</w:t>
      </w:r>
      <w:r w:rsidR="00965059">
        <w:rPr>
          <w:rFonts w:cs="Calibri"/>
          <w:bCs/>
        </w:rPr>
        <w:t xml:space="preserve"> på några seniormässor samt i</w:t>
      </w:r>
      <w:r w:rsidR="0058494E" w:rsidRPr="003E1F15">
        <w:rPr>
          <w:rFonts w:cs="Calibri"/>
          <w:bCs/>
        </w:rPr>
        <w:t xml:space="preserve"> den nationella fallpreventionsveckan</w:t>
      </w:r>
      <w:r w:rsidR="009810ED">
        <w:rPr>
          <w:rFonts w:cs="Calibri"/>
          <w:bCs/>
        </w:rPr>
        <w:t xml:space="preserve">. </w:t>
      </w:r>
      <w:r w:rsidR="009810ED" w:rsidRPr="003E1F15">
        <w:t xml:space="preserve">Utställningen utvecklas </w:t>
      </w:r>
      <w:r w:rsidR="00965059">
        <w:t xml:space="preserve">och leverantörerna </w:t>
      </w:r>
      <w:r w:rsidR="009810ED" w:rsidRPr="003E1F15">
        <w:t>förändr</w:t>
      </w:r>
      <w:r w:rsidR="00965059">
        <w:t>as</w:t>
      </w:r>
      <w:r w:rsidR="009810ED" w:rsidRPr="003E1F15">
        <w:t xml:space="preserve">, nu är det 35 leverantörer som hyr plats. </w:t>
      </w:r>
    </w:p>
    <w:p w:rsidR="00B820CB" w:rsidRDefault="00157C0B" w:rsidP="00B820CB">
      <w:r w:rsidRPr="00157C0B">
        <w:rPr>
          <w:b/>
        </w:rPr>
        <w:t>Genusperspektiv/förskrivningsmönster</w:t>
      </w:r>
      <w:r w:rsidRPr="00157C0B">
        <w:rPr>
          <w:b/>
        </w:rPr>
        <w:br/>
      </w:r>
      <w:r w:rsidR="006960D9">
        <w:t>E</w:t>
      </w:r>
      <w:r w:rsidR="003A71ED">
        <w:t xml:space="preserve">n </w:t>
      </w:r>
      <w:r w:rsidR="00E343FB" w:rsidRPr="00C05F55">
        <w:t>undersök</w:t>
      </w:r>
      <w:r w:rsidR="003A71ED">
        <w:t xml:space="preserve">ning av </w:t>
      </w:r>
      <w:r w:rsidR="00E343FB" w:rsidRPr="00C05F55">
        <w:t xml:space="preserve">förskrivningsmönster ur ett genusperspektiv visar att drygt 60 % av hjälpmedelsanvändarna är kvinnor. </w:t>
      </w:r>
      <w:r w:rsidR="003A71ED">
        <w:t xml:space="preserve">I </w:t>
      </w:r>
      <w:r w:rsidR="00E343FB" w:rsidRPr="00C05F55">
        <w:t xml:space="preserve">ett fåtal produktområden </w:t>
      </w:r>
      <w:r w:rsidR="003A71ED">
        <w:t>är</w:t>
      </w:r>
      <w:r w:rsidR="00E343FB" w:rsidRPr="00C05F55">
        <w:t xml:space="preserve"> könsfördelningen mer jämn och </w:t>
      </w:r>
      <w:r w:rsidR="00965059">
        <w:t xml:space="preserve">vissa har </w:t>
      </w:r>
      <w:r w:rsidR="00E343FB" w:rsidRPr="00C05F55">
        <w:t xml:space="preserve">även övervikt </w:t>
      </w:r>
      <w:r w:rsidR="00965059">
        <w:t>av</w:t>
      </w:r>
      <w:r w:rsidR="009B2D24">
        <w:t xml:space="preserve"> män.</w:t>
      </w:r>
    </w:p>
    <w:p w:rsidR="006F16B4" w:rsidRDefault="003A71ED" w:rsidP="00B820CB">
      <w:pPr>
        <w:rPr>
          <w:iCs/>
        </w:rPr>
      </w:pPr>
      <w:r>
        <w:t>E</w:t>
      </w:r>
      <w:r w:rsidR="00E343FB" w:rsidRPr="00C05F55">
        <w:t>tt samarbete med Kompetenscentrum för hälsa, Liv och Hälsa Ung</w:t>
      </w:r>
      <w:r w:rsidR="00965059">
        <w:t>,</w:t>
      </w:r>
      <w:r>
        <w:t xml:space="preserve"> har inletts och d</w:t>
      </w:r>
      <w:r w:rsidR="00E343FB" w:rsidRPr="00C05F55">
        <w:t>e första resultaten visar tecken på könsskillnader i förskrivningar till tonåringar</w:t>
      </w:r>
      <w:r w:rsidR="009B2D24">
        <w:t>.</w:t>
      </w:r>
      <w:r w:rsidR="00965059">
        <w:t xml:space="preserve"> Bland annat</w:t>
      </w:r>
      <w:r w:rsidR="00E343FB" w:rsidRPr="00C05F55">
        <w:t xml:space="preserve"> är pojkar överrepresenterade bland hjälpmedelsanvändarna. Det kan också finnas skillnader mellan Västerås stad och övriga kommuner i länet. </w:t>
      </w:r>
      <w:r w:rsidR="00C05F55">
        <w:br/>
      </w:r>
      <w:r>
        <w:rPr>
          <w:b/>
        </w:rPr>
        <w:br/>
      </w:r>
      <w:r w:rsidR="00C05F55">
        <w:rPr>
          <w:b/>
        </w:rPr>
        <w:t>Uppföljning av i</w:t>
      </w:r>
      <w:r w:rsidR="000C6D52" w:rsidRPr="000C6D52">
        <w:rPr>
          <w:b/>
        </w:rPr>
        <w:t xml:space="preserve">nförandet av </w:t>
      </w:r>
      <w:r w:rsidR="0009513C">
        <w:rPr>
          <w:b/>
        </w:rPr>
        <w:t xml:space="preserve">hjälpmedel för </w:t>
      </w:r>
      <w:r w:rsidR="000C6D52" w:rsidRPr="000C6D52">
        <w:rPr>
          <w:b/>
        </w:rPr>
        <w:t>dyslexi och dyskalkyli</w:t>
      </w:r>
      <w:r>
        <w:rPr>
          <w:b/>
        </w:rPr>
        <w:br/>
      </w:r>
      <w:r w:rsidR="00EC6329" w:rsidRPr="00EC6329">
        <w:rPr>
          <w:iCs/>
        </w:rPr>
        <w:t xml:space="preserve">48 förskrivningar </w:t>
      </w:r>
      <w:r w:rsidR="00C05F55">
        <w:rPr>
          <w:iCs/>
        </w:rPr>
        <w:t xml:space="preserve">har </w:t>
      </w:r>
      <w:r w:rsidR="00896514">
        <w:rPr>
          <w:iCs/>
        </w:rPr>
        <w:t>genomförts av hjälpmedel för dyslexi, i</w:t>
      </w:r>
      <w:r w:rsidR="00EC6329" w:rsidRPr="00EC6329">
        <w:rPr>
          <w:iCs/>
        </w:rPr>
        <w:t>nga kognitionshj</w:t>
      </w:r>
      <w:r w:rsidR="00965059">
        <w:rPr>
          <w:iCs/>
        </w:rPr>
        <w:t>älpmedel har förskrivits efter dyskalkyli</w:t>
      </w:r>
      <w:r w:rsidR="00EC6329" w:rsidRPr="00EC6329">
        <w:rPr>
          <w:iCs/>
        </w:rPr>
        <w:t>utredning.</w:t>
      </w:r>
      <w:r w:rsidR="0009513C">
        <w:rPr>
          <w:iCs/>
        </w:rPr>
        <w:t xml:space="preserve"> </w:t>
      </w:r>
    </w:p>
    <w:p w:rsidR="000C6D52" w:rsidRPr="00841BED" w:rsidRDefault="006832AC" w:rsidP="00B820CB">
      <w:pPr>
        <w:spacing w:after="0" w:line="240" w:lineRule="auto"/>
        <w:rPr>
          <w:b/>
          <w:i/>
        </w:rPr>
      </w:pPr>
      <w:r w:rsidRPr="00841BED">
        <w:rPr>
          <w:b/>
        </w:rPr>
        <w:lastRenderedPageBreak/>
        <w:t>U</w:t>
      </w:r>
      <w:r w:rsidR="000C6D52" w:rsidRPr="00841BED">
        <w:rPr>
          <w:b/>
        </w:rPr>
        <w:t xml:space="preserve">tbyte av rollator </w:t>
      </w:r>
    </w:p>
    <w:bookmarkEnd w:id="2"/>
    <w:p w:rsidR="006832AC" w:rsidRDefault="006832AC" w:rsidP="00B820CB">
      <w:r w:rsidRPr="006832AC">
        <w:t xml:space="preserve">Projektet att byta ut felaktiga rollatorer avslutades </w:t>
      </w:r>
      <w:r w:rsidR="00965059">
        <w:t xml:space="preserve">den </w:t>
      </w:r>
      <w:r w:rsidRPr="006832AC">
        <w:t>31 december. Av totalt 2</w:t>
      </w:r>
      <w:r w:rsidR="00965059">
        <w:t xml:space="preserve"> </w:t>
      </w:r>
      <w:r w:rsidRPr="006832AC">
        <w:t>245 rollatorer har 2</w:t>
      </w:r>
      <w:r w:rsidR="00965059">
        <w:t xml:space="preserve"> </w:t>
      </w:r>
      <w:r w:rsidRPr="006832AC">
        <w:t xml:space="preserve">026 bytts ut. </w:t>
      </w:r>
    </w:p>
    <w:p w:rsidR="009B704D" w:rsidRDefault="009B704D" w:rsidP="00B820CB">
      <w:pPr>
        <w:pStyle w:val="Rubrik2"/>
        <w:spacing w:line="240" w:lineRule="auto"/>
      </w:pPr>
      <w:r w:rsidRPr="00B85B96">
        <w:t>Åtgärder</w:t>
      </w:r>
    </w:p>
    <w:p w:rsidR="006832AC" w:rsidRDefault="006832AC" w:rsidP="00B820CB">
      <w:pPr>
        <w:pStyle w:val="Brdtext"/>
        <w:spacing w:after="0" w:line="240" w:lineRule="auto"/>
      </w:pPr>
      <w:r>
        <w:t>De ro</w:t>
      </w:r>
      <w:r w:rsidRPr="006832AC">
        <w:t xml:space="preserve">llatorer </w:t>
      </w:r>
      <w:r>
        <w:t>som inte</w:t>
      </w:r>
      <w:r w:rsidR="00271D2E">
        <w:t xml:space="preserve"> varit möjliga</w:t>
      </w:r>
      <w:r>
        <w:t xml:space="preserve"> att byta ut kommer </w:t>
      </w:r>
      <w:r w:rsidR="006870F6">
        <w:t xml:space="preserve">att </w:t>
      </w:r>
      <w:r>
        <w:t>kasseras vid</w:t>
      </w:r>
      <w:r w:rsidRPr="006832AC">
        <w:t xml:space="preserve"> återlämnande</w:t>
      </w:r>
      <w:r>
        <w:t>t</w:t>
      </w:r>
      <w:r w:rsidRPr="006832AC">
        <w:t xml:space="preserve"> </w:t>
      </w:r>
      <w:r w:rsidR="00271D2E">
        <w:t>eller</w:t>
      </w:r>
      <w:r w:rsidRPr="006832AC">
        <w:t xml:space="preserve"> av tekniker i samband med andra reparationer hos patiente</w:t>
      </w:r>
      <w:r>
        <w:t>n</w:t>
      </w:r>
      <w:r w:rsidRPr="006832AC">
        <w:t>.</w:t>
      </w:r>
    </w:p>
    <w:p w:rsidR="003A71ED" w:rsidRDefault="003A71ED" w:rsidP="00B820CB">
      <w:pPr>
        <w:pStyle w:val="Brdtext"/>
        <w:spacing w:after="0" w:line="240" w:lineRule="auto"/>
      </w:pPr>
    </w:p>
    <w:p w:rsidR="00C05F55" w:rsidRPr="00645F5C" w:rsidRDefault="00C05F55" w:rsidP="00B820CB">
      <w:pPr>
        <w:spacing w:after="0" w:line="240" w:lineRule="auto"/>
        <w:rPr>
          <w:i/>
          <w:color w:val="FF0000"/>
        </w:rPr>
      </w:pPr>
      <w:r w:rsidRPr="00C05F55">
        <w:t>Samarbetet</w:t>
      </w:r>
      <w:r>
        <w:t xml:space="preserve"> m</w:t>
      </w:r>
      <w:r w:rsidR="00965059">
        <w:t>ed Kompetenscentrum för hälsa, Liv och Hälsa U</w:t>
      </w:r>
      <w:r>
        <w:t>ng</w:t>
      </w:r>
      <w:r w:rsidR="00965059">
        <w:t>,</w:t>
      </w:r>
      <w:r w:rsidRPr="00C05F55">
        <w:t xml:space="preserve"> kommer att fortsätta under 2018.</w:t>
      </w:r>
    </w:p>
    <w:p w:rsidR="003A71ED" w:rsidRDefault="003A71ED" w:rsidP="00B820CB">
      <w:pPr>
        <w:pStyle w:val="Brdtext"/>
        <w:spacing w:after="0" w:line="240" w:lineRule="auto"/>
      </w:pPr>
    </w:p>
    <w:p w:rsidR="00645F5C" w:rsidRDefault="00645F5C" w:rsidP="00B820CB">
      <w:pPr>
        <w:pStyle w:val="Brdtext"/>
        <w:spacing w:after="0" w:line="240" w:lineRule="auto"/>
      </w:pPr>
      <w:r w:rsidRPr="00645F5C">
        <w:t>För att utvärdera patientnöjdhet pågår arbete med att inkludera frågor om hjälpmedel i den nationella patientenkäten</w:t>
      </w:r>
      <w:r>
        <w:t>.</w:t>
      </w:r>
    </w:p>
    <w:p w:rsidR="003A71ED" w:rsidRDefault="003A71ED" w:rsidP="00B820CB">
      <w:pPr>
        <w:pStyle w:val="Brdtext"/>
        <w:spacing w:after="0" w:line="240" w:lineRule="auto"/>
      </w:pPr>
    </w:p>
    <w:p w:rsidR="00397E07" w:rsidRDefault="00397E07" w:rsidP="00B820CB">
      <w:pPr>
        <w:pStyle w:val="Brdtext"/>
        <w:spacing w:after="0" w:line="240" w:lineRule="auto"/>
      </w:pPr>
      <w:r>
        <w:t xml:space="preserve">Fortsatt utbildning om </w:t>
      </w:r>
      <w:r w:rsidR="00B315CE">
        <w:t xml:space="preserve">betydelsen av en </w:t>
      </w:r>
      <w:r>
        <w:t>delaktig</w:t>
      </w:r>
      <w:r w:rsidR="00B315CE">
        <w:t xml:space="preserve"> patient</w:t>
      </w:r>
      <w:r>
        <w:t xml:space="preserve"> kommer att genomföras.</w:t>
      </w:r>
    </w:p>
    <w:p w:rsidR="00B820CB" w:rsidRDefault="00B820CB" w:rsidP="00B820CB">
      <w:pPr>
        <w:pStyle w:val="Brdtext"/>
        <w:spacing w:after="0" w:line="240" w:lineRule="auto"/>
      </w:pPr>
    </w:p>
    <w:p w:rsidR="003A71ED" w:rsidRDefault="009B704D" w:rsidP="00B820CB">
      <w:pPr>
        <w:pStyle w:val="Rubrik2"/>
        <w:spacing w:before="0" w:line="240" w:lineRule="auto"/>
      </w:pPr>
      <w:r>
        <w:t>Sam</w:t>
      </w:r>
      <w:r w:rsidRPr="00E25AD9">
        <w:t>lad bedömning</w:t>
      </w:r>
      <w:r w:rsidR="00A9290C">
        <w:t xml:space="preserve"> </w:t>
      </w:r>
    </w:p>
    <w:p w:rsidR="00397E07" w:rsidRDefault="00C81CD9" w:rsidP="00B820CB">
      <w:pPr>
        <w:pStyle w:val="Rubrik2"/>
        <w:spacing w:before="0" w:line="276" w:lineRule="auto"/>
        <w:rPr>
          <w:b w:val="0"/>
        </w:rPr>
      </w:pPr>
      <w:r w:rsidRPr="003A71ED">
        <w:rPr>
          <w:b w:val="0"/>
        </w:rPr>
        <w:t xml:space="preserve">Hjälpmedelscentrum arbetar proaktivt för att informera om förebyggande egenvård och om hjälpmedel för att möta </w:t>
      </w:r>
      <w:r w:rsidR="00965059">
        <w:rPr>
          <w:b w:val="0"/>
        </w:rPr>
        <w:t>såväl personers behov som</w:t>
      </w:r>
      <w:r w:rsidRPr="003A71ED">
        <w:rPr>
          <w:b w:val="0"/>
        </w:rPr>
        <w:t xml:space="preserve"> förskrivare</w:t>
      </w:r>
      <w:r w:rsidR="00965059">
        <w:rPr>
          <w:b w:val="0"/>
        </w:rPr>
        <w:t>s</w:t>
      </w:r>
      <w:r w:rsidRPr="003A71ED">
        <w:rPr>
          <w:b w:val="0"/>
        </w:rPr>
        <w:t xml:space="preserve"> och vård</w:t>
      </w:r>
      <w:r w:rsidR="00965059">
        <w:rPr>
          <w:b w:val="0"/>
        </w:rPr>
        <w:t>-</w:t>
      </w:r>
      <w:r w:rsidRPr="003A71ED">
        <w:rPr>
          <w:b w:val="0"/>
        </w:rPr>
        <w:t xml:space="preserve"> och omsorgspersonals kompetensbehov.</w:t>
      </w:r>
      <w:r w:rsidR="003A71ED">
        <w:rPr>
          <w:b w:val="0"/>
        </w:rPr>
        <w:t xml:space="preserve"> </w:t>
      </w:r>
    </w:p>
    <w:p w:rsidR="003A71ED" w:rsidRPr="003A71ED" w:rsidRDefault="003A71ED" w:rsidP="003A71ED">
      <w:pPr>
        <w:pStyle w:val="Brdtext"/>
      </w:pPr>
    </w:p>
    <w:p w:rsidR="00397E07" w:rsidRPr="003A71ED" w:rsidRDefault="00397E07" w:rsidP="009B704D">
      <w:pPr>
        <w:pStyle w:val="Brdtext"/>
        <w:rPr>
          <w:i/>
          <w:color w:val="808080"/>
        </w:rPr>
      </w:pPr>
    </w:p>
    <w:p w:rsidR="00397E07" w:rsidRDefault="00397E07" w:rsidP="009B704D">
      <w:pPr>
        <w:pStyle w:val="Brdtext"/>
        <w:rPr>
          <w:i/>
          <w:color w:val="808080"/>
        </w:rPr>
      </w:pPr>
    </w:p>
    <w:p w:rsidR="00397E07" w:rsidRDefault="00397E07" w:rsidP="009B704D">
      <w:pPr>
        <w:pStyle w:val="Brdtext"/>
        <w:rPr>
          <w:i/>
          <w:color w:val="808080"/>
        </w:rPr>
      </w:pPr>
    </w:p>
    <w:p w:rsidR="00397E07" w:rsidRDefault="00397E07" w:rsidP="009B704D">
      <w:pPr>
        <w:pStyle w:val="Brdtext"/>
        <w:rPr>
          <w:i/>
          <w:color w:val="808080"/>
        </w:rPr>
      </w:pPr>
    </w:p>
    <w:p w:rsidR="00397E07" w:rsidRDefault="00397E07" w:rsidP="009B704D">
      <w:pPr>
        <w:pStyle w:val="Brdtext"/>
        <w:rPr>
          <w:i/>
          <w:color w:val="808080"/>
        </w:rPr>
      </w:pPr>
    </w:p>
    <w:p w:rsidR="00397E07" w:rsidRDefault="00397E07" w:rsidP="009B704D">
      <w:pPr>
        <w:pStyle w:val="Brdtext"/>
        <w:rPr>
          <w:i/>
          <w:color w:val="808080"/>
        </w:rPr>
      </w:pPr>
    </w:p>
    <w:p w:rsidR="00397E07" w:rsidRDefault="00397E07" w:rsidP="009B704D">
      <w:pPr>
        <w:pStyle w:val="Brdtext"/>
        <w:rPr>
          <w:i/>
          <w:color w:val="808080"/>
        </w:rPr>
      </w:pPr>
    </w:p>
    <w:p w:rsidR="00397E07" w:rsidRDefault="00397E07" w:rsidP="009B704D">
      <w:pPr>
        <w:pStyle w:val="Brdtext"/>
        <w:rPr>
          <w:i/>
          <w:color w:val="808080"/>
        </w:rPr>
      </w:pPr>
    </w:p>
    <w:p w:rsidR="00397E07" w:rsidRDefault="00397E07" w:rsidP="009B704D">
      <w:pPr>
        <w:pStyle w:val="Brdtext"/>
        <w:rPr>
          <w:i/>
          <w:color w:val="808080"/>
        </w:rPr>
      </w:pPr>
    </w:p>
    <w:p w:rsidR="00397E07" w:rsidRDefault="00397E07" w:rsidP="009B704D">
      <w:pPr>
        <w:pStyle w:val="Brdtext"/>
        <w:rPr>
          <w:i/>
          <w:color w:val="808080"/>
        </w:rPr>
      </w:pPr>
    </w:p>
    <w:p w:rsidR="00397E07" w:rsidRDefault="00397E07" w:rsidP="009B704D">
      <w:pPr>
        <w:pStyle w:val="Brdtext"/>
        <w:rPr>
          <w:i/>
          <w:color w:val="808080"/>
        </w:rPr>
      </w:pPr>
    </w:p>
    <w:p w:rsidR="00397E07" w:rsidRDefault="00397E07" w:rsidP="009B704D">
      <w:pPr>
        <w:pStyle w:val="Brdtext"/>
        <w:rPr>
          <w:i/>
          <w:color w:val="808080"/>
        </w:rPr>
      </w:pPr>
    </w:p>
    <w:p w:rsidR="006870F6" w:rsidRDefault="006870F6" w:rsidP="009B704D">
      <w:pPr>
        <w:pStyle w:val="Brdtext"/>
        <w:rPr>
          <w:i/>
          <w:color w:val="808080"/>
        </w:rPr>
      </w:pPr>
    </w:p>
    <w:p w:rsidR="006870F6" w:rsidRDefault="006870F6" w:rsidP="009B704D">
      <w:pPr>
        <w:pStyle w:val="Brdtext"/>
        <w:rPr>
          <w:i/>
          <w:color w:val="808080"/>
        </w:rPr>
      </w:pPr>
    </w:p>
    <w:p w:rsidR="00B820CB" w:rsidRDefault="00B820CB">
      <w:pPr>
        <w:spacing w:after="0" w:line="240" w:lineRule="auto"/>
        <w:rPr>
          <w:rFonts w:eastAsia="Times New Roman"/>
          <w:b/>
          <w:bCs/>
          <w:caps/>
          <w:szCs w:val="28"/>
        </w:rPr>
      </w:pPr>
      <w:r>
        <w:br w:type="page"/>
      </w:r>
    </w:p>
    <w:p w:rsidR="009B704D" w:rsidRPr="00B917B7" w:rsidRDefault="009B704D" w:rsidP="009B704D">
      <w:pPr>
        <w:pStyle w:val="Rubrik1"/>
      </w:pPr>
      <w:r>
        <w:lastRenderedPageBreak/>
        <w:t>Verksamhet/Processperspektiv</w:t>
      </w:r>
    </w:p>
    <w:p w:rsidR="009B704D" w:rsidRDefault="009B704D" w:rsidP="009B704D">
      <w:pPr>
        <w:pStyle w:val="Rubrik2"/>
      </w:pPr>
      <w:r>
        <w:t>Perspektivets processmål och löpande uppföljning omfattar följande indikatorer:</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224"/>
        <w:gridCol w:w="1163"/>
        <w:gridCol w:w="1417"/>
        <w:gridCol w:w="1212"/>
      </w:tblGrid>
      <w:tr w:rsidR="009B704D" w:rsidRPr="006B1E06" w:rsidTr="00841BED">
        <w:tc>
          <w:tcPr>
            <w:tcW w:w="1838" w:type="dxa"/>
            <w:shd w:val="clear" w:color="auto" w:fill="B4C6E7" w:themeFill="accent5" w:themeFillTint="66"/>
          </w:tcPr>
          <w:p w:rsidR="009B704D" w:rsidRPr="00841BED" w:rsidRDefault="009B704D" w:rsidP="00841BED">
            <w:pPr>
              <w:pStyle w:val="Tabelltext"/>
              <w:rPr>
                <w:b/>
              </w:rPr>
            </w:pPr>
            <w:r w:rsidRPr="00841BED">
              <w:rPr>
                <w:b/>
              </w:rPr>
              <w:t>Mål</w:t>
            </w:r>
          </w:p>
        </w:tc>
        <w:tc>
          <w:tcPr>
            <w:tcW w:w="4224" w:type="dxa"/>
            <w:shd w:val="clear" w:color="auto" w:fill="B4C6E7" w:themeFill="accent5" w:themeFillTint="66"/>
          </w:tcPr>
          <w:p w:rsidR="009B704D" w:rsidRPr="00841BED" w:rsidRDefault="009B704D" w:rsidP="00841BED">
            <w:pPr>
              <w:pStyle w:val="Tabelltext"/>
              <w:rPr>
                <w:b/>
              </w:rPr>
            </w:pPr>
            <w:r w:rsidRPr="00841BED">
              <w:rPr>
                <w:b/>
              </w:rPr>
              <w:t>Indikator</w:t>
            </w:r>
          </w:p>
        </w:tc>
        <w:tc>
          <w:tcPr>
            <w:tcW w:w="1163" w:type="dxa"/>
            <w:shd w:val="clear" w:color="auto" w:fill="B4C6E7" w:themeFill="accent5" w:themeFillTint="66"/>
          </w:tcPr>
          <w:p w:rsidR="009B704D" w:rsidRPr="00841BED" w:rsidRDefault="009B704D" w:rsidP="00841BED">
            <w:pPr>
              <w:pStyle w:val="Tabelltext"/>
              <w:rPr>
                <w:b/>
              </w:rPr>
            </w:pPr>
            <w:r w:rsidRPr="00841BED">
              <w:rPr>
                <w:b/>
              </w:rPr>
              <w:t>Målvärde 2017</w:t>
            </w:r>
          </w:p>
        </w:tc>
        <w:tc>
          <w:tcPr>
            <w:tcW w:w="1417" w:type="dxa"/>
            <w:shd w:val="clear" w:color="auto" w:fill="B4C6E7" w:themeFill="accent5" w:themeFillTint="66"/>
          </w:tcPr>
          <w:p w:rsidR="009B704D" w:rsidRPr="00841BED" w:rsidRDefault="009B704D" w:rsidP="00841BED">
            <w:pPr>
              <w:pStyle w:val="Tabelltext"/>
              <w:rPr>
                <w:b/>
              </w:rPr>
            </w:pPr>
            <w:r w:rsidRPr="00841BED">
              <w:rPr>
                <w:b/>
              </w:rPr>
              <w:t>Rappor</w:t>
            </w:r>
            <w:r w:rsidR="00841BED" w:rsidRPr="00841BED">
              <w:rPr>
                <w:b/>
              </w:rPr>
              <w:t>t</w:t>
            </w:r>
            <w:r w:rsidRPr="00841BED">
              <w:rPr>
                <w:b/>
              </w:rPr>
              <w:t xml:space="preserve">eras </w:t>
            </w:r>
          </w:p>
        </w:tc>
        <w:tc>
          <w:tcPr>
            <w:tcW w:w="1212" w:type="dxa"/>
            <w:shd w:val="clear" w:color="auto" w:fill="B4C6E7" w:themeFill="accent5" w:themeFillTint="66"/>
          </w:tcPr>
          <w:p w:rsidR="009B704D" w:rsidRPr="00841BED" w:rsidRDefault="009B704D" w:rsidP="00841BED">
            <w:pPr>
              <w:pStyle w:val="Tabelltext"/>
              <w:rPr>
                <w:b/>
                <w:i/>
                <w:color w:val="A6A6A6"/>
              </w:rPr>
            </w:pPr>
            <w:r w:rsidRPr="00841BED">
              <w:rPr>
                <w:b/>
              </w:rPr>
              <w:t>Utfall 2017</w:t>
            </w:r>
          </w:p>
        </w:tc>
      </w:tr>
      <w:tr w:rsidR="009B704D" w:rsidRPr="006B1E06" w:rsidTr="00841BED">
        <w:trPr>
          <w:trHeight w:val="567"/>
        </w:trPr>
        <w:tc>
          <w:tcPr>
            <w:tcW w:w="1838" w:type="dxa"/>
            <w:shd w:val="clear" w:color="auto" w:fill="auto"/>
          </w:tcPr>
          <w:p w:rsidR="009B704D" w:rsidRPr="006B1E06" w:rsidRDefault="009B704D" w:rsidP="000C6D52">
            <w:pPr>
              <w:pStyle w:val="Tabelltext"/>
              <w:rPr>
                <w:sz w:val="18"/>
                <w:szCs w:val="18"/>
              </w:rPr>
            </w:pPr>
            <w:r w:rsidRPr="006B1E06">
              <w:rPr>
                <w:sz w:val="18"/>
                <w:szCs w:val="18"/>
              </w:rPr>
              <w:t xml:space="preserve">Ökad användning av </w:t>
            </w:r>
            <w:r w:rsidR="00841BED">
              <w:rPr>
                <w:sz w:val="18"/>
                <w:szCs w:val="18"/>
              </w:rPr>
              <w:br/>
            </w:r>
            <w:r w:rsidRPr="006B1E06">
              <w:rPr>
                <w:sz w:val="18"/>
                <w:szCs w:val="18"/>
              </w:rPr>
              <w:t>e-tjänster</w:t>
            </w:r>
          </w:p>
        </w:tc>
        <w:tc>
          <w:tcPr>
            <w:tcW w:w="4224" w:type="dxa"/>
            <w:shd w:val="clear" w:color="auto" w:fill="auto"/>
          </w:tcPr>
          <w:p w:rsidR="009B704D" w:rsidRPr="006B1E06" w:rsidRDefault="009B704D" w:rsidP="00B14FA8">
            <w:pPr>
              <w:pStyle w:val="Tabelltext"/>
              <w:rPr>
                <w:sz w:val="18"/>
                <w:szCs w:val="18"/>
              </w:rPr>
            </w:pPr>
            <w:r w:rsidRPr="006B1E06">
              <w:rPr>
                <w:sz w:val="18"/>
                <w:szCs w:val="18"/>
              </w:rPr>
              <w:t>Antal verksamheter som har minst en mottagning som erbjuder direkt tidbokning</w:t>
            </w:r>
            <w:r w:rsidR="00841BED">
              <w:rPr>
                <w:sz w:val="18"/>
                <w:szCs w:val="18"/>
              </w:rPr>
              <w:t xml:space="preserve"> (Region Västmanland)</w:t>
            </w:r>
          </w:p>
        </w:tc>
        <w:tc>
          <w:tcPr>
            <w:tcW w:w="1163" w:type="dxa"/>
            <w:shd w:val="clear" w:color="auto" w:fill="auto"/>
          </w:tcPr>
          <w:p w:rsidR="009B704D" w:rsidRPr="006B1E06" w:rsidRDefault="00A9290C" w:rsidP="000C6D52">
            <w:pPr>
              <w:pStyle w:val="Tabelltext"/>
              <w:rPr>
                <w:sz w:val="18"/>
                <w:szCs w:val="18"/>
              </w:rPr>
            </w:pPr>
            <w:r>
              <w:rPr>
                <w:sz w:val="18"/>
                <w:szCs w:val="18"/>
              </w:rPr>
              <w:t>Öka 10 %</w:t>
            </w:r>
            <w:r w:rsidR="00395811">
              <w:rPr>
                <w:sz w:val="18"/>
                <w:szCs w:val="18"/>
              </w:rPr>
              <w:t xml:space="preserve"> </w:t>
            </w:r>
          </w:p>
        </w:tc>
        <w:tc>
          <w:tcPr>
            <w:tcW w:w="1417" w:type="dxa"/>
            <w:shd w:val="clear" w:color="auto" w:fill="auto"/>
          </w:tcPr>
          <w:p w:rsidR="009B704D" w:rsidRPr="006B1E06" w:rsidRDefault="009B704D" w:rsidP="000C6D52">
            <w:pPr>
              <w:pStyle w:val="Tabelltext"/>
              <w:rPr>
                <w:sz w:val="18"/>
                <w:szCs w:val="18"/>
              </w:rPr>
            </w:pPr>
            <w:r w:rsidRPr="006B1E06">
              <w:rPr>
                <w:sz w:val="18"/>
                <w:szCs w:val="18"/>
              </w:rPr>
              <w:t>D/Å</w:t>
            </w:r>
          </w:p>
        </w:tc>
        <w:tc>
          <w:tcPr>
            <w:tcW w:w="1212" w:type="dxa"/>
            <w:shd w:val="clear" w:color="auto" w:fill="auto"/>
          </w:tcPr>
          <w:p w:rsidR="009B704D" w:rsidRPr="00E3458E" w:rsidRDefault="00E3458E" w:rsidP="000C6D52">
            <w:pPr>
              <w:pStyle w:val="Tabelltext"/>
              <w:rPr>
                <w:color w:val="A6A6A6"/>
                <w:sz w:val="18"/>
                <w:szCs w:val="18"/>
              </w:rPr>
            </w:pPr>
            <w:r w:rsidRPr="00E3458E">
              <w:rPr>
                <w:sz w:val="18"/>
                <w:szCs w:val="18"/>
              </w:rPr>
              <w:t>7 %</w:t>
            </w:r>
          </w:p>
        </w:tc>
      </w:tr>
      <w:tr w:rsidR="009B704D" w:rsidRPr="006B1E06" w:rsidTr="00841BED">
        <w:trPr>
          <w:trHeight w:val="567"/>
        </w:trPr>
        <w:tc>
          <w:tcPr>
            <w:tcW w:w="1838" w:type="dxa"/>
            <w:shd w:val="clear" w:color="auto" w:fill="auto"/>
          </w:tcPr>
          <w:p w:rsidR="009B704D" w:rsidRPr="006B1E06" w:rsidRDefault="009B704D" w:rsidP="000C6D52">
            <w:pPr>
              <w:pStyle w:val="Tabelltext"/>
              <w:rPr>
                <w:sz w:val="18"/>
                <w:szCs w:val="18"/>
              </w:rPr>
            </w:pPr>
            <w:r>
              <w:rPr>
                <w:sz w:val="18"/>
                <w:szCs w:val="18"/>
              </w:rPr>
              <w:t>Kortare l</w:t>
            </w:r>
            <w:r w:rsidRPr="006B1E06">
              <w:rPr>
                <w:sz w:val="18"/>
                <w:szCs w:val="18"/>
              </w:rPr>
              <w:t xml:space="preserve">edtider </w:t>
            </w:r>
            <w:r>
              <w:rPr>
                <w:sz w:val="18"/>
                <w:szCs w:val="18"/>
              </w:rPr>
              <w:t>(väntan)</w:t>
            </w:r>
          </w:p>
        </w:tc>
        <w:tc>
          <w:tcPr>
            <w:tcW w:w="4224" w:type="dxa"/>
            <w:shd w:val="clear" w:color="auto" w:fill="auto"/>
          </w:tcPr>
          <w:p w:rsidR="009B704D" w:rsidRPr="006B1E06" w:rsidRDefault="009B704D" w:rsidP="00B14FA8">
            <w:pPr>
              <w:pStyle w:val="Punktlista"/>
              <w:numPr>
                <w:ilvl w:val="0"/>
                <w:numId w:val="0"/>
              </w:numPr>
              <w:spacing w:line="240" w:lineRule="auto"/>
              <w:rPr>
                <w:sz w:val="18"/>
                <w:szCs w:val="18"/>
              </w:rPr>
            </w:pPr>
            <w:r w:rsidRPr="00113B6C">
              <w:rPr>
                <w:sz w:val="18"/>
                <w:szCs w:val="18"/>
              </w:rPr>
              <w:t xml:space="preserve">Andel patienter som erbjudits tid för utprovning inom 15 </w:t>
            </w:r>
            <w:r>
              <w:rPr>
                <w:sz w:val="18"/>
                <w:szCs w:val="18"/>
              </w:rPr>
              <w:t>arbetsdagar</w:t>
            </w:r>
          </w:p>
        </w:tc>
        <w:tc>
          <w:tcPr>
            <w:tcW w:w="1163" w:type="dxa"/>
            <w:shd w:val="clear" w:color="auto" w:fill="auto"/>
          </w:tcPr>
          <w:p w:rsidR="009B704D" w:rsidRPr="006B1E06" w:rsidRDefault="009B704D" w:rsidP="00B14FA8">
            <w:pPr>
              <w:pStyle w:val="Punktlista"/>
              <w:numPr>
                <w:ilvl w:val="0"/>
                <w:numId w:val="0"/>
              </w:numPr>
              <w:spacing w:line="240" w:lineRule="auto"/>
              <w:rPr>
                <w:sz w:val="18"/>
                <w:szCs w:val="18"/>
              </w:rPr>
            </w:pPr>
            <w:r w:rsidRPr="00113B6C">
              <w:rPr>
                <w:sz w:val="18"/>
                <w:szCs w:val="18"/>
              </w:rPr>
              <w:t>80 %</w:t>
            </w:r>
          </w:p>
        </w:tc>
        <w:tc>
          <w:tcPr>
            <w:tcW w:w="1417" w:type="dxa"/>
            <w:shd w:val="clear" w:color="auto" w:fill="auto"/>
          </w:tcPr>
          <w:p w:rsidR="009B704D" w:rsidRPr="006B1E06" w:rsidRDefault="009B704D" w:rsidP="00B14FA8">
            <w:pPr>
              <w:pStyle w:val="Tabelltext"/>
              <w:spacing w:line="276" w:lineRule="auto"/>
              <w:rPr>
                <w:sz w:val="18"/>
                <w:szCs w:val="18"/>
              </w:rPr>
            </w:pPr>
            <w:r w:rsidRPr="006B1E06">
              <w:rPr>
                <w:sz w:val="18"/>
                <w:szCs w:val="18"/>
              </w:rPr>
              <w:t>D/Å</w:t>
            </w:r>
          </w:p>
        </w:tc>
        <w:tc>
          <w:tcPr>
            <w:tcW w:w="1212" w:type="dxa"/>
            <w:shd w:val="clear" w:color="auto" w:fill="auto"/>
          </w:tcPr>
          <w:p w:rsidR="009B704D" w:rsidRPr="0009513C" w:rsidRDefault="00B14FA8" w:rsidP="00B14FA8">
            <w:pPr>
              <w:pStyle w:val="Tabelltext"/>
              <w:spacing w:line="276" w:lineRule="auto"/>
              <w:rPr>
                <w:sz w:val="18"/>
                <w:szCs w:val="18"/>
              </w:rPr>
            </w:pPr>
            <w:r w:rsidRPr="0009513C">
              <w:rPr>
                <w:sz w:val="18"/>
                <w:szCs w:val="18"/>
              </w:rPr>
              <w:t>74,0 %</w:t>
            </w:r>
          </w:p>
        </w:tc>
      </w:tr>
      <w:tr w:rsidR="009B704D" w:rsidRPr="006B1E06" w:rsidTr="00841BED">
        <w:trPr>
          <w:trHeight w:val="567"/>
        </w:trPr>
        <w:tc>
          <w:tcPr>
            <w:tcW w:w="1838" w:type="dxa"/>
            <w:shd w:val="clear" w:color="auto" w:fill="auto"/>
          </w:tcPr>
          <w:p w:rsidR="009B704D" w:rsidRPr="006B1E06" w:rsidRDefault="009B704D" w:rsidP="000C6D52">
            <w:pPr>
              <w:pStyle w:val="Tabelltext"/>
              <w:jc w:val="center"/>
              <w:rPr>
                <w:sz w:val="18"/>
                <w:szCs w:val="18"/>
              </w:rPr>
            </w:pPr>
            <w:r w:rsidRPr="006B1E06">
              <w:rPr>
                <w:sz w:val="18"/>
                <w:szCs w:val="18"/>
              </w:rPr>
              <w:t>”</w:t>
            </w:r>
          </w:p>
        </w:tc>
        <w:tc>
          <w:tcPr>
            <w:tcW w:w="4224" w:type="dxa"/>
            <w:shd w:val="clear" w:color="auto" w:fill="auto"/>
          </w:tcPr>
          <w:p w:rsidR="009B704D" w:rsidRPr="006B1E06" w:rsidRDefault="009B704D" w:rsidP="00B14FA8">
            <w:pPr>
              <w:pStyle w:val="Punktlista"/>
              <w:numPr>
                <w:ilvl w:val="0"/>
                <w:numId w:val="0"/>
              </w:numPr>
              <w:spacing w:line="240" w:lineRule="auto"/>
              <w:rPr>
                <w:sz w:val="18"/>
                <w:szCs w:val="18"/>
              </w:rPr>
            </w:pPr>
            <w:r w:rsidRPr="00113B6C">
              <w:rPr>
                <w:sz w:val="18"/>
                <w:szCs w:val="18"/>
              </w:rPr>
              <w:t>Andel patienter som fått service/reparation slutförd inom 5 arbetsdagar</w:t>
            </w:r>
          </w:p>
        </w:tc>
        <w:tc>
          <w:tcPr>
            <w:tcW w:w="1163" w:type="dxa"/>
            <w:shd w:val="clear" w:color="auto" w:fill="auto"/>
          </w:tcPr>
          <w:p w:rsidR="009B704D" w:rsidRPr="006B1E06" w:rsidRDefault="009B704D" w:rsidP="000C6D52">
            <w:pPr>
              <w:pStyle w:val="Tabelltext"/>
              <w:spacing w:line="360" w:lineRule="auto"/>
              <w:rPr>
                <w:sz w:val="18"/>
                <w:szCs w:val="18"/>
              </w:rPr>
            </w:pPr>
            <w:r>
              <w:rPr>
                <w:sz w:val="18"/>
                <w:szCs w:val="18"/>
              </w:rPr>
              <w:t>80%</w:t>
            </w:r>
          </w:p>
        </w:tc>
        <w:tc>
          <w:tcPr>
            <w:tcW w:w="1417" w:type="dxa"/>
            <w:shd w:val="clear" w:color="auto" w:fill="auto"/>
          </w:tcPr>
          <w:p w:rsidR="009B704D" w:rsidRPr="006B1E06" w:rsidRDefault="009B704D" w:rsidP="00B14FA8">
            <w:pPr>
              <w:pStyle w:val="Tabelltext"/>
              <w:spacing w:line="276" w:lineRule="auto"/>
              <w:rPr>
                <w:sz w:val="18"/>
                <w:szCs w:val="18"/>
              </w:rPr>
            </w:pPr>
            <w:r w:rsidRPr="006B1E06">
              <w:rPr>
                <w:sz w:val="18"/>
                <w:szCs w:val="18"/>
              </w:rPr>
              <w:t>D/Å</w:t>
            </w:r>
          </w:p>
        </w:tc>
        <w:tc>
          <w:tcPr>
            <w:tcW w:w="1212" w:type="dxa"/>
            <w:shd w:val="clear" w:color="auto" w:fill="auto"/>
          </w:tcPr>
          <w:p w:rsidR="009B704D" w:rsidRPr="0009513C" w:rsidRDefault="00B14FA8" w:rsidP="00B14FA8">
            <w:pPr>
              <w:pStyle w:val="Tabelltext"/>
              <w:spacing w:line="276" w:lineRule="auto"/>
              <w:rPr>
                <w:sz w:val="18"/>
                <w:szCs w:val="18"/>
              </w:rPr>
            </w:pPr>
            <w:r w:rsidRPr="0009513C">
              <w:rPr>
                <w:sz w:val="18"/>
                <w:szCs w:val="18"/>
              </w:rPr>
              <w:t>86,0 %</w:t>
            </w:r>
          </w:p>
        </w:tc>
      </w:tr>
      <w:tr w:rsidR="009B704D" w:rsidRPr="006B1E06" w:rsidTr="00841BED">
        <w:trPr>
          <w:trHeight w:val="567"/>
        </w:trPr>
        <w:tc>
          <w:tcPr>
            <w:tcW w:w="1838" w:type="dxa"/>
            <w:shd w:val="clear" w:color="auto" w:fill="auto"/>
          </w:tcPr>
          <w:p w:rsidR="009B704D" w:rsidRPr="006B1E06" w:rsidRDefault="009B704D" w:rsidP="000C6D52">
            <w:pPr>
              <w:pStyle w:val="Tabelltext"/>
              <w:jc w:val="center"/>
              <w:rPr>
                <w:sz w:val="18"/>
                <w:szCs w:val="18"/>
              </w:rPr>
            </w:pPr>
            <w:r w:rsidRPr="006B1E06">
              <w:rPr>
                <w:sz w:val="18"/>
                <w:szCs w:val="18"/>
              </w:rPr>
              <w:t>”</w:t>
            </w:r>
          </w:p>
        </w:tc>
        <w:tc>
          <w:tcPr>
            <w:tcW w:w="4224" w:type="dxa"/>
            <w:shd w:val="clear" w:color="auto" w:fill="auto"/>
          </w:tcPr>
          <w:p w:rsidR="009B704D" w:rsidRPr="00113B6C" w:rsidRDefault="009B704D" w:rsidP="00B14FA8">
            <w:pPr>
              <w:pStyle w:val="Punktlista"/>
              <w:numPr>
                <w:ilvl w:val="0"/>
                <w:numId w:val="0"/>
              </w:numPr>
              <w:spacing w:line="240" w:lineRule="auto"/>
              <w:rPr>
                <w:sz w:val="18"/>
                <w:szCs w:val="18"/>
              </w:rPr>
            </w:pPr>
            <w:r w:rsidRPr="00113B6C">
              <w:rPr>
                <w:sz w:val="18"/>
                <w:szCs w:val="18"/>
              </w:rPr>
              <w:t xml:space="preserve">Andel besvarade telefonsamtal hos kundtjänst </w:t>
            </w:r>
          </w:p>
          <w:p w:rsidR="009B704D" w:rsidRPr="006B1E06" w:rsidRDefault="009B704D" w:rsidP="00B14FA8">
            <w:pPr>
              <w:pStyle w:val="Tabelltext"/>
              <w:rPr>
                <w:sz w:val="18"/>
                <w:szCs w:val="18"/>
              </w:rPr>
            </w:pPr>
          </w:p>
        </w:tc>
        <w:tc>
          <w:tcPr>
            <w:tcW w:w="1163" w:type="dxa"/>
            <w:shd w:val="clear" w:color="auto" w:fill="auto"/>
          </w:tcPr>
          <w:p w:rsidR="009B704D" w:rsidRPr="006B1E06" w:rsidRDefault="009B704D" w:rsidP="000C6D52">
            <w:pPr>
              <w:pStyle w:val="Tabelltext"/>
              <w:rPr>
                <w:sz w:val="18"/>
                <w:szCs w:val="18"/>
              </w:rPr>
            </w:pPr>
            <w:r>
              <w:rPr>
                <w:sz w:val="18"/>
                <w:szCs w:val="18"/>
              </w:rPr>
              <w:t>95%</w:t>
            </w:r>
          </w:p>
        </w:tc>
        <w:tc>
          <w:tcPr>
            <w:tcW w:w="1417" w:type="dxa"/>
            <w:shd w:val="clear" w:color="auto" w:fill="auto"/>
          </w:tcPr>
          <w:p w:rsidR="009B704D" w:rsidRPr="006B1E06" w:rsidRDefault="009B704D" w:rsidP="00B14FA8">
            <w:pPr>
              <w:pStyle w:val="Tabelltext"/>
              <w:spacing w:line="276" w:lineRule="auto"/>
              <w:rPr>
                <w:sz w:val="18"/>
                <w:szCs w:val="18"/>
              </w:rPr>
            </w:pPr>
            <w:r w:rsidRPr="006B1E06">
              <w:rPr>
                <w:sz w:val="18"/>
                <w:szCs w:val="18"/>
              </w:rPr>
              <w:t>D/Å</w:t>
            </w:r>
          </w:p>
        </w:tc>
        <w:tc>
          <w:tcPr>
            <w:tcW w:w="1212" w:type="dxa"/>
            <w:shd w:val="clear" w:color="auto" w:fill="auto"/>
          </w:tcPr>
          <w:p w:rsidR="009B704D" w:rsidRPr="0009513C" w:rsidRDefault="00B14FA8" w:rsidP="00B14FA8">
            <w:pPr>
              <w:pStyle w:val="Tabelltext"/>
              <w:spacing w:line="276" w:lineRule="auto"/>
              <w:rPr>
                <w:sz w:val="18"/>
                <w:szCs w:val="18"/>
              </w:rPr>
            </w:pPr>
            <w:r w:rsidRPr="0009513C">
              <w:rPr>
                <w:sz w:val="18"/>
                <w:szCs w:val="18"/>
              </w:rPr>
              <w:t>91,5 %</w:t>
            </w:r>
          </w:p>
        </w:tc>
      </w:tr>
      <w:tr w:rsidR="009B704D" w:rsidRPr="006B1E06" w:rsidTr="00841BED">
        <w:trPr>
          <w:trHeight w:val="567"/>
        </w:trPr>
        <w:tc>
          <w:tcPr>
            <w:tcW w:w="1838" w:type="dxa"/>
            <w:shd w:val="clear" w:color="auto" w:fill="auto"/>
          </w:tcPr>
          <w:p w:rsidR="009B704D" w:rsidRPr="006B1E06" w:rsidRDefault="009B704D" w:rsidP="000C6D52">
            <w:pPr>
              <w:pStyle w:val="Tabelltext"/>
              <w:jc w:val="center"/>
              <w:rPr>
                <w:sz w:val="18"/>
                <w:szCs w:val="18"/>
              </w:rPr>
            </w:pPr>
            <w:r>
              <w:rPr>
                <w:sz w:val="18"/>
                <w:szCs w:val="18"/>
              </w:rPr>
              <w:t>”</w:t>
            </w:r>
          </w:p>
        </w:tc>
        <w:tc>
          <w:tcPr>
            <w:tcW w:w="4224" w:type="dxa"/>
            <w:shd w:val="clear" w:color="auto" w:fill="auto"/>
          </w:tcPr>
          <w:p w:rsidR="009B704D" w:rsidRPr="006B1E06" w:rsidRDefault="009B704D" w:rsidP="00B14FA8">
            <w:pPr>
              <w:pStyle w:val="Tabelltext"/>
              <w:rPr>
                <w:sz w:val="18"/>
                <w:szCs w:val="18"/>
              </w:rPr>
            </w:pPr>
            <w:r w:rsidRPr="00113B6C">
              <w:rPr>
                <w:sz w:val="18"/>
                <w:szCs w:val="18"/>
              </w:rPr>
              <w:t>Andel leveranser enligt planerad leveransdag</w:t>
            </w:r>
          </w:p>
        </w:tc>
        <w:tc>
          <w:tcPr>
            <w:tcW w:w="1163" w:type="dxa"/>
            <w:shd w:val="clear" w:color="auto" w:fill="auto"/>
          </w:tcPr>
          <w:p w:rsidR="009B704D" w:rsidRPr="006B1E06" w:rsidRDefault="009B704D" w:rsidP="000C6D52">
            <w:pPr>
              <w:pStyle w:val="Tabelltext"/>
              <w:rPr>
                <w:sz w:val="18"/>
                <w:szCs w:val="18"/>
              </w:rPr>
            </w:pPr>
            <w:r>
              <w:rPr>
                <w:sz w:val="18"/>
                <w:szCs w:val="18"/>
              </w:rPr>
              <w:t>95%</w:t>
            </w:r>
          </w:p>
        </w:tc>
        <w:tc>
          <w:tcPr>
            <w:tcW w:w="1417" w:type="dxa"/>
            <w:shd w:val="clear" w:color="auto" w:fill="auto"/>
          </w:tcPr>
          <w:p w:rsidR="009B704D" w:rsidRPr="006B1E06" w:rsidRDefault="009B704D" w:rsidP="00B14FA8">
            <w:pPr>
              <w:pStyle w:val="Tabelltext"/>
              <w:spacing w:line="276" w:lineRule="auto"/>
              <w:rPr>
                <w:sz w:val="18"/>
                <w:szCs w:val="18"/>
              </w:rPr>
            </w:pPr>
            <w:r w:rsidRPr="006B1E06">
              <w:rPr>
                <w:sz w:val="18"/>
                <w:szCs w:val="18"/>
              </w:rPr>
              <w:t>D/Å</w:t>
            </w:r>
          </w:p>
          <w:p w:rsidR="009B704D" w:rsidRPr="006B1E06" w:rsidRDefault="009B704D" w:rsidP="00B14FA8">
            <w:pPr>
              <w:pStyle w:val="Tabelltext"/>
              <w:spacing w:line="276" w:lineRule="auto"/>
              <w:rPr>
                <w:sz w:val="18"/>
                <w:szCs w:val="18"/>
              </w:rPr>
            </w:pPr>
          </w:p>
        </w:tc>
        <w:tc>
          <w:tcPr>
            <w:tcW w:w="1212" w:type="dxa"/>
            <w:shd w:val="clear" w:color="auto" w:fill="auto"/>
          </w:tcPr>
          <w:p w:rsidR="009B704D" w:rsidRPr="0009513C" w:rsidRDefault="00B14FA8" w:rsidP="00B14FA8">
            <w:pPr>
              <w:pStyle w:val="Tabelltext"/>
              <w:spacing w:line="276" w:lineRule="auto"/>
              <w:rPr>
                <w:sz w:val="18"/>
                <w:szCs w:val="18"/>
              </w:rPr>
            </w:pPr>
            <w:r w:rsidRPr="0009513C">
              <w:rPr>
                <w:sz w:val="18"/>
                <w:szCs w:val="18"/>
              </w:rPr>
              <w:t>96,6 %</w:t>
            </w:r>
          </w:p>
        </w:tc>
      </w:tr>
      <w:tr w:rsidR="009B704D" w:rsidRPr="006B1E06" w:rsidTr="00841BED">
        <w:trPr>
          <w:trHeight w:val="567"/>
        </w:trPr>
        <w:tc>
          <w:tcPr>
            <w:tcW w:w="1838" w:type="dxa"/>
            <w:shd w:val="clear" w:color="auto" w:fill="auto"/>
          </w:tcPr>
          <w:p w:rsidR="009B704D" w:rsidRDefault="009B704D" w:rsidP="000C6D52">
            <w:pPr>
              <w:pStyle w:val="Tabelltext"/>
              <w:rPr>
                <w:sz w:val="18"/>
                <w:szCs w:val="18"/>
              </w:rPr>
            </w:pPr>
            <w:r>
              <w:rPr>
                <w:sz w:val="18"/>
                <w:szCs w:val="18"/>
              </w:rPr>
              <w:t>Patientsäkerhet</w:t>
            </w:r>
          </w:p>
        </w:tc>
        <w:tc>
          <w:tcPr>
            <w:tcW w:w="4224" w:type="dxa"/>
            <w:shd w:val="clear" w:color="auto" w:fill="auto"/>
          </w:tcPr>
          <w:p w:rsidR="009B704D" w:rsidRPr="00113B6C" w:rsidRDefault="009B704D" w:rsidP="00B14FA8">
            <w:pPr>
              <w:pStyle w:val="Tabelltext"/>
              <w:rPr>
                <w:sz w:val="18"/>
                <w:szCs w:val="18"/>
              </w:rPr>
            </w:pPr>
            <w:r>
              <w:rPr>
                <w:sz w:val="18"/>
                <w:szCs w:val="18"/>
              </w:rPr>
              <w:t>Andel klassificerade och allvarlighetsbedömda avvikelser i Synergi</w:t>
            </w:r>
          </w:p>
        </w:tc>
        <w:tc>
          <w:tcPr>
            <w:tcW w:w="1163" w:type="dxa"/>
            <w:shd w:val="clear" w:color="auto" w:fill="auto"/>
          </w:tcPr>
          <w:p w:rsidR="009B704D" w:rsidRDefault="009B704D" w:rsidP="000C6D52">
            <w:pPr>
              <w:pStyle w:val="Tabelltext"/>
              <w:rPr>
                <w:sz w:val="18"/>
                <w:szCs w:val="18"/>
              </w:rPr>
            </w:pPr>
            <w:r>
              <w:rPr>
                <w:sz w:val="18"/>
                <w:szCs w:val="18"/>
              </w:rPr>
              <w:t>80%</w:t>
            </w:r>
          </w:p>
          <w:p w:rsidR="009B704D" w:rsidRDefault="009B704D" w:rsidP="000C6D52">
            <w:pPr>
              <w:pStyle w:val="Tabelltext"/>
              <w:rPr>
                <w:sz w:val="18"/>
                <w:szCs w:val="18"/>
              </w:rPr>
            </w:pPr>
            <w:r>
              <w:rPr>
                <w:sz w:val="18"/>
                <w:szCs w:val="18"/>
              </w:rPr>
              <w:t>60%</w:t>
            </w:r>
          </w:p>
        </w:tc>
        <w:tc>
          <w:tcPr>
            <w:tcW w:w="1417" w:type="dxa"/>
            <w:shd w:val="clear" w:color="auto" w:fill="auto"/>
          </w:tcPr>
          <w:p w:rsidR="009B704D" w:rsidRPr="006B1E06" w:rsidRDefault="009B704D" w:rsidP="00B14FA8">
            <w:pPr>
              <w:pStyle w:val="Tabelltext"/>
              <w:spacing w:line="276" w:lineRule="auto"/>
              <w:rPr>
                <w:sz w:val="18"/>
                <w:szCs w:val="18"/>
              </w:rPr>
            </w:pPr>
            <w:r>
              <w:rPr>
                <w:sz w:val="18"/>
                <w:szCs w:val="18"/>
              </w:rPr>
              <w:t>D/Å</w:t>
            </w:r>
          </w:p>
        </w:tc>
        <w:tc>
          <w:tcPr>
            <w:tcW w:w="1212" w:type="dxa"/>
            <w:shd w:val="clear" w:color="auto" w:fill="auto"/>
          </w:tcPr>
          <w:p w:rsidR="009B704D" w:rsidRPr="00B14FA8" w:rsidRDefault="0009513C" w:rsidP="00B14FA8">
            <w:pPr>
              <w:pStyle w:val="Tabelltext"/>
              <w:spacing w:line="276" w:lineRule="auto"/>
              <w:rPr>
                <w:sz w:val="18"/>
                <w:szCs w:val="18"/>
              </w:rPr>
            </w:pPr>
            <w:r>
              <w:rPr>
                <w:sz w:val="18"/>
                <w:szCs w:val="18"/>
              </w:rPr>
              <w:t>100 %</w:t>
            </w:r>
            <w:r>
              <w:rPr>
                <w:sz w:val="18"/>
                <w:szCs w:val="18"/>
              </w:rPr>
              <w:br/>
              <w:t>100 %</w:t>
            </w:r>
          </w:p>
        </w:tc>
      </w:tr>
    </w:tbl>
    <w:p w:rsidR="00841BED" w:rsidRDefault="009B704D" w:rsidP="00841BED">
      <w:pPr>
        <w:pStyle w:val="Rubrik2"/>
        <w:numPr>
          <w:ilvl w:val="1"/>
          <w:numId w:val="0"/>
        </w:numPr>
        <w:ind w:left="851" w:hanging="851"/>
      </w:pPr>
      <w:r>
        <w:t>A</w:t>
      </w:r>
      <w:r w:rsidRPr="00B917B7">
        <w:t xml:space="preserve">rbetet mot mål och uppdrag </w:t>
      </w:r>
      <w:r>
        <w:t>– resultat och analys av aktiviteter och indikatorer</w:t>
      </w:r>
    </w:p>
    <w:p w:rsidR="00841BED" w:rsidRPr="00841BED" w:rsidRDefault="00841BED" w:rsidP="00B820CB">
      <w:pPr>
        <w:pStyle w:val="Rubrik3"/>
        <w:spacing w:line="240" w:lineRule="auto"/>
        <w:rPr>
          <w:i w:val="0"/>
        </w:rPr>
      </w:pPr>
      <w:r w:rsidRPr="00841BED">
        <w:rPr>
          <w:i w:val="0"/>
        </w:rPr>
        <w:t>Tillgänglighet, jämfört med 2016</w:t>
      </w:r>
    </w:p>
    <w:p w:rsidR="0045305B" w:rsidRPr="00841BED" w:rsidRDefault="00841BED" w:rsidP="00B820CB">
      <w:pPr>
        <w:spacing w:after="0"/>
        <w:rPr>
          <w:rFonts w:cs="Calibri"/>
        </w:rPr>
      </w:pPr>
      <w:r w:rsidRPr="00841BED">
        <w:rPr>
          <w:rFonts w:cs="Calibri"/>
        </w:rPr>
        <w:t>Andelen som erbjudits utprovningstid inom 15 arbetsdagar är 74 %, en ökning med 2,9 procentenheter. Ökningen beror på en stabilare bemanning, kompeten</w:t>
      </w:r>
      <w:r>
        <w:rPr>
          <w:rFonts w:cs="Calibri"/>
        </w:rPr>
        <w:t>s, uppföljning och samordning.</w:t>
      </w:r>
    </w:p>
    <w:p w:rsidR="00A9290C" w:rsidRPr="00841BED" w:rsidRDefault="00E3458E" w:rsidP="00B820CB">
      <w:pPr>
        <w:spacing w:after="0"/>
        <w:ind w:right="198"/>
        <w:rPr>
          <w:rFonts w:cs="Calibri"/>
        </w:rPr>
      </w:pPr>
      <w:r w:rsidRPr="00E3458E">
        <w:rPr>
          <w:rFonts w:cs="Calibri"/>
        </w:rPr>
        <w:t>Andelen reparationsuppdrag som slutförs inom 5 arbetsdagar är 86 %</w:t>
      </w:r>
      <w:r w:rsidRPr="00E3458E">
        <w:rPr>
          <w:rFonts w:cs="Calibri"/>
          <w:shd w:val="clear" w:color="auto" w:fill="FFFFFF"/>
        </w:rPr>
        <w:t xml:space="preserve">. Målet nås med god </w:t>
      </w:r>
      <w:r w:rsidRPr="00841BED">
        <w:rPr>
          <w:rFonts w:cs="Calibri"/>
          <w:shd w:val="clear" w:color="auto" w:fill="FFFFFF"/>
        </w:rPr>
        <w:t>marginal.</w:t>
      </w:r>
    </w:p>
    <w:p w:rsidR="00A9290C" w:rsidRPr="00841BED" w:rsidRDefault="00A9290C" w:rsidP="00B820CB">
      <w:pPr>
        <w:pStyle w:val="Brdtext"/>
        <w:spacing w:after="0" w:line="276" w:lineRule="auto"/>
        <w:rPr>
          <w:rFonts w:cs="Calibri"/>
        </w:rPr>
      </w:pPr>
    </w:p>
    <w:p w:rsidR="00A9290C" w:rsidRPr="00841BED" w:rsidRDefault="000F5016" w:rsidP="00B820CB">
      <w:pPr>
        <w:pStyle w:val="Brdtext"/>
        <w:spacing w:after="200" w:line="276" w:lineRule="auto"/>
        <w:rPr>
          <w:rFonts w:cs="Calibri"/>
        </w:rPr>
      </w:pPr>
      <w:r w:rsidRPr="00841BED">
        <w:rPr>
          <w:rFonts w:cs="Calibri"/>
        </w:rPr>
        <w:t>Andelen besvarade telefonsamtal är 91,5 %, en ökning med 0,3</w:t>
      </w:r>
      <w:r w:rsidRPr="00841BED">
        <w:rPr>
          <w:rFonts w:cs="Calibri"/>
          <w:shd w:val="clear" w:color="auto" w:fill="FFFFFF"/>
        </w:rPr>
        <w:t xml:space="preserve"> procentenheter.</w:t>
      </w:r>
      <w:r w:rsidRPr="00841BED">
        <w:rPr>
          <w:rFonts w:cs="Calibri"/>
        </w:rPr>
        <w:t xml:space="preserve"> </w:t>
      </w:r>
    </w:p>
    <w:p w:rsidR="008A15F9" w:rsidRDefault="00491CC3" w:rsidP="00B820CB">
      <w:pPr>
        <w:pStyle w:val="Brdtext"/>
        <w:spacing w:line="276" w:lineRule="auto"/>
        <w:rPr>
          <w:rFonts w:eastAsia="Times New Roman"/>
          <w:b/>
          <w:bCs/>
          <w:szCs w:val="26"/>
        </w:rPr>
      </w:pPr>
      <w:r w:rsidRPr="00491CC3">
        <w:rPr>
          <w:rFonts w:cs="Calibri"/>
        </w:rPr>
        <w:t xml:space="preserve">Andel genomförda leveranser av lagervaror på planerad leveransdag har ökat till 96,6 % vilket motsvarar en ökning med 0,3 % </w:t>
      </w:r>
      <w:r w:rsidRPr="00491CC3">
        <w:rPr>
          <w:rFonts w:cs="Calibri"/>
          <w:shd w:val="clear" w:color="auto" w:fill="FFFFFF"/>
        </w:rPr>
        <w:t>procentenheter</w:t>
      </w:r>
      <w:r w:rsidRPr="00491CC3">
        <w:rPr>
          <w:rFonts w:cs="Calibri"/>
        </w:rPr>
        <w:t>. Orsaken är framförallt fortsatt bra flöde i produktionen med hantering av rätt aktiviteter.</w:t>
      </w:r>
      <w:bookmarkStart w:id="3" w:name="_Toc472420612"/>
      <w:bookmarkStart w:id="4" w:name="_Toc472420607"/>
    </w:p>
    <w:p w:rsidR="00AA5943" w:rsidRPr="00841BED" w:rsidRDefault="00AA5943" w:rsidP="00841BED">
      <w:pPr>
        <w:pStyle w:val="Rubrik3"/>
      </w:pPr>
      <w:r w:rsidRPr="00841BED">
        <w:rPr>
          <w:i w:val="0"/>
        </w:rPr>
        <w:t>Produktions- och</w:t>
      </w:r>
      <w:r w:rsidRPr="00841BED">
        <w:t xml:space="preserve"> </w:t>
      </w:r>
      <w:r w:rsidRPr="00841BED">
        <w:rPr>
          <w:i w:val="0"/>
        </w:rPr>
        <w:t>kostnadseffektivitet</w:t>
      </w:r>
      <w:bookmarkEnd w:id="3"/>
      <w:r w:rsidRPr="00841BED">
        <w:t xml:space="preserve">, </w:t>
      </w:r>
      <w:r w:rsidRPr="00841BED">
        <w:rPr>
          <w:rStyle w:val="Rubrik3Char"/>
          <w:b/>
        </w:rPr>
        <w:t>jämfört med 201</w:t>
      </w:r>
      <w:r w:rsidR="00395811" w:rsidRPr="00841BED">
        <w:rPr>
          <w:rStyle w:val="Rubrik3Char"/>
          <w:b/>
        </w:rPr>
        <w:t>6</w:t>
      </w:r>
      <w:r w:rsidRPr="00841BED">
        <w:rPr>
          <w:rStyle w:val="Rubrik3Char"/>
          <w:b/>
        </w:rPr>
        <w:t xml:space="preserve"> </w:t>
      </w:r>
    </w:p>
    <w:tbl>
      <w:tblPr>
        <w:tblW w:w="934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47"/>
        <w:gridCol w:w="1684"/>
        <w:gridCol w:w="1684"/>
        <w:gridCol w:w="1425"/>
      </w:tblGrid>
      <w:tr w:rsidR="00AA5943" w:rsidRPr="00841BED" w:rsidTr="00841BED">
        <w:trPr>
          <w:trHeight w:val="283"/>
        </w:trPr>
        <w:tc>
          <w:tcPr>
            <w:tcW w:w="4547" w:type="dxa"/>
            <w:shd w:val="clear" w:color="auto" w:fill="B4C6E7" w:themeFill="accent5" w:themeFillTint="66"/>
            <w:noWrap/>
            <w:vAlign w:val="bottom"/>
            <w:hideMark/>
          </w:tcPr>
          <w:p w:rsidR="00AA5943" w:rsidRPr="00841BED" w:rsidRDefault="00AA5943" w:rsidP="00841BED">
            <w:pPr>
              <w:pStyle w:val="Tabelltext"/>
              <w:rPr>
                <w:b/>
              </w:rPr>
            </w:pPr>
            <w:r w:rsidRPr="00841BED">
              <w:rPr>
                <w:b/>
              </w:rPr>
              <w:t xml:space="preserve">Produktion </w:t>
            </w:r>
          </w:p>
        </w:tc>
        <w:tc>
          <w:tcPr>
            <w:tcW w:w="1684" w:type="dxa"/>
            <w:shd w:val="clear" w:color="auto" w:fill="B4C6E7" w:themeFill="accent5" w:themeFillTint="66"/>
            <w:vAlign w:val="bottom"/>
          </w:tcPr>
          <w:p w:rsidR="00AA5943" w:rsidRPr="00841BED" w:rsidRDefault="00AA5943" w:rsidP="00841BED">
            <w:pPr>
              <w:pStyle w:val="Tabelltext"/>
              <w:rPr>
                <w:rFonts w:cs="Calibri"/>
                <w:b/>
              </w:rPr>
            </w:pPr>
            <w:r w:rsidRPr="00841BED">
              <w:rPr>
                <w:rFonts w:cs="Calibri"/>
                <w:b/>
              </w:rPr>
              <w:t>201</w:t>
            </w:r>
            <w:r w:rsidR="00395811" w:rsidRPr="00841BED">
              <w:rPr>
                <w:rFonts w:cs="Calibri"/>
                <w:b/>
              </w:rPr>
              <w:t>6</w:t>
            </w:r>
          </w:p>
        </w:tc>
        <w:tc>
          <w:tcPr>
            <w:tcW w:w="1684" w:type="dxa"/>
            <w:shd w:val="clear" w:color="auto" w:fill="B4C6E7" w:themeFill="accent5" w:themeFillTint="66"/>
            <w:vAlign w:val="bottom"/>
          </w:tcPr>
          <w:p w:rsidR="00AA5943" w:rsidRPr="00841BED" w:rsidRDefault="00AA5943" w:rsidP="00841BED">
            <w:pPr>
              <w:pStyle w:val="Tabelltext"/>
              <w:rPr>
                <w:rFonts w:cs="Calibri"/>
                <w:b/>
              </w:rPr>
            </w:pPr>
            <w:r w:rsidRPr="00841BED">
              <w:rPr>
                <w:rFonts w:cs="Calibri"/>
                <w:b/>
              </w:rPr>
              <w:t>201</w:t>
            </w:r>
            <w:r w:rsidR="00395811" w:rsidRPr="00841BED">
              <w:rPr>
                <w:rFonts w:cs="Calibri"/>
                <w:b/>
              </w:rPr>
              <w:t>7</w:t>
            </w:r>
          </w:p>
        </w:tc>
        <w:tc>
          <w:tcPr>
            <w:tcW w:w="1425" w:type="dxa"/>
            <w:shd w:val="clear" w:color="auto" w:fill="B4C6E7" w:themeFill="accent5" w:themeFillTint="66"/>
            <w:vAlign w:val="bottom"/>
            <w:hideMark/>
          </w:tcPr>
          <w:p w:rsidR="00AA5943" w:rsidRPr="00841BED" w:rsidRDefault="00AA5943" w:rsidP="00841BED">
            <w:pPr>
              <w:pStyle w:val="Tabelltext"/>
              <w:rPr>
                <w:rFonts w:cs="Calibri"/>
                <w:b/>
              </w:rPr>
            </w:pPr>
            <w:r w:rsidRPr="00841BED">
              <w:rPr>
                <w:rFonts w:cs="Calibri"/>
                <w:b/>
              </w:rPr>
              <w:t>Förändring %</w:t>
            </w:r>
          </w:p>
        </w:tc>
      </w:tr>
      <w:tr w:rsidR="00395811" w:rsidRPr="001E06E7" w:rsidTr="00841BED">
        <w:trPr>
          <w:trHeight w:val="300"/>
        </w:trPr>
        <w:tc>
          <w:tcPr>
            <w:tcW w:w="4547" w:type="dxa"/>
            <w:noWrap/>
            <w:vAlign w:val="bottom"/>
            <w:hideMark/>
          </w:tcPr>
          <w:p w:rsidR="00395811" w:rsidRPr="00395811" w:rsidRDefault="00395811" w:rsidP="00841BED">
            <w:pPr>
              <w:pStyle w:val="Tabelltext"/>
            </w:pPr>
            <w:r w:rsidRPr="00395811">
              <w:t>Antal beställningar</w:t>
            </w:r>
          </w:p>
        </w:tc>
        <w:tc>
          <w:tcPr>
            <w:tcW w:w="1684" w:type="dxa"/>
            <w:vAlign w:val="bottom"/>
          </w:tcPr>
          <w:p w:rsidR="00395811" w:rsidRPr="00395811" w:rsidRDefault="00395811" w:rsidP="00841BED">
            <w:pPr>
              <w:pStyle w:val="Tabelltext"/>
              <w:rPr>
                <w:rFonts w:eastAsia="Times New Roman"/>
                <w:lang w:eastAsia="sv-SE"/>
              </w:rPr>
            </w:pPr>
            <w:r w:rsidRPr="00395811">
              <w:rPr>
                <w:rFonts w:eastAsia="Times New Roman"/>
                <w:lang w:eastAsia="sv-SE"/>
              </w:rPr>
              <w:t>40 855</w:t>
            </w:r>
          </w:p>
        </w:tc>
        <w:tc>
          <w:tcPr>
            <w:tcW w:w="1684" w:type="dxa"/>
            <w:vAlign w:val="bottom"/>
          </w:tcPr>
          <w:p w:rsidR="00395811" w:rsidRPr="00BE1D86" w:rsidRDefault="00CF080B" w:rsidP="00841BED">
            <w:pPr>
              <w:pStyle w:val="Tabelltext"/>
              <w:rPr>
                <w:rFonts w:eastAsia="Times New Roman"/>
                <w:lang w:eastAsia="sv-SE"/>
              </w:rPr>
            </w:pPr>
            <w:r w:rsidRPr="00BE1D86">
              <w:rPr>
                <w:rFonts w:eastAsia="Times New Roman"/>
                <w:lang w:eastAsia="sv-SE"/>
              </w:rPr>
              <w:t>42 186</w:t>
            </w:r>
          </w:p>
        </w:tc>
        <w:tc>
          <w:tcPr>
            <w:tcW w:w="1425" w:type="dxa"/>
            <w:shd w:val="clear" w:color="auto" w:fill="FFFFFF"/>
            <w:noWrap/>
            <w:vAlign w:val="bottom"/>
          </w:tcPr>
          <w:p w:rsidR="00395811" w:rsidRPr="00BE1D86" w:rsidRDefault="00CF080B" w:rsidP="00841BED">
            <w:pPr>
              <w:pStyle w:val="Tabelltext"/>
              <w:rPr>
                <w:rFonts w:ascii="Arial" w:eastAsia="Times New Roman" w:hAnsi="Arial"/>
                <w:szCs w:val="20"/>
                <w:lang w:eastAsia="sv-SE"/>
              </w:rPr>
            </w:pPr>
            <w:r w:rsidRPr="00BE1D86">
              <w:rPr>
                <w:rFonts w:ascii="Arial" w:eastAsia="Times New Roman" w:hAnsi="Arial"/>
                <w:szCs w:val="20"/>
                <w:lang w:eastAsia="sv-SE"/>
              </w:rPr>
              <w:t>3,3 %</w:t>
            </w:r>
          </w:p>
        </w:tc>
      </w:tr>
      <w:tr w:rsidR="00395811" w:rsidRPr="001E06E7" w:rsidTr="00841BED">
        <w:trPr>
          <w:trHeight w:val="300"/>
        </w:trPr>
        <w:tc>
          <w:tcPr>
            <w:tcW w:w="4547" w:type="dxa"/>
            <w:noWrap/>
            <w:vAlign w:val="bottom"/>
            <w:hideMark/>
          </w:tcPr>
          <w:p w:rsidR="00395811" w:rsidRPr="00395811" w:rsidRDefault="00395811" w:rsidP="00841BED">
            <w:pPr>
              <w:pStyle w:val="Tabelltext"/>
            </w:pPr>
            <w:r w:rsidRPr="00395811">
              <w:t>Antal returer</w:t>
            </w:r>
          </w:p>
        </w:tc>
        <w:tc>
          <w:tcPr>
            <w:tcW w:w="1684" w:type="dxa"/>
            <w:vAlign w:val="bottom"/>
          </w:tcPr>
          <w:p w:rsidR="00395811" w:rsidRPr="00395811" w:rsidRDefault="00395811" w:rsidP="00841BED">
            <w:pPr>
              <w:pStyle w:val="Tabelltext"/>
              <w:rPr>
                <w:rFonts w:eastAsia="Times New Roman"/>
                <w:lang w:eastAsia="sv-SE"/>
              </w:rPr>
            </w:pPr>
            <w:r w:rsidRPr="00395811">
              <w:rPr>
                <w:rFonts w:eastAsia="Times New Roman"/>
                <w:lang w:eastAsia="sv-SE"/>
              </w:rPr>
              <w:t>28 365</w:t>
            </w:r>
          </w:p>
        </w:tc>
        <w:tc>
          <w:tcPr>
            <w:tcW w:w="1684" w:type="dxa"/>
            <w:vAlign w:val="bottom"/>
          </w:tcPr>
          <w:p w:rsidR="00395811" w:rsidRPr="00BE1D86" w:rsidRDefault="00CF080B" w:rsidP="00841BED">
            <w:pPr>
              <w:pStyle w:val="Tabelltext"/>
              <w:rPr>
                <w:rFonts w:eastAsia="Times New Roman"/>
                <w:lang w:eastAsia="sv-SE"/>
              </w:rPr>
            </w:pPr>
            <w:r w:rsidRPr="00BE1D86">
              <w:rPr>
                <w:rFonts w:eastAsia="Times New Roman"/>
                <w:lang w:eastAsia="sv-SE"/>
              </w:rPr>
              <w:t>28 315</w:t>
            </w:r>
          </w:p>
        </w:tc>
        <w:tc>
          <w:tcPr>
            <w:tcW w:w="1425" w:type="dxa"/>
            <w:shd w:val="clear" w:color="auto" w:fill="FFFFFF"/>
            <w:noWrap/>
            <w:vAlign w:val="bottom"/>
          </w:tcPr>
          <w:p w:rsidR="00395811" w:rsidRPr="00BE1D86" w:rsidRDefault="00CF080B" w:rsidP="00841BED">
            <w:pPr>
              <w:pStyle w:val="Tabelltext"/>
              <w:rPr>
                <w:rFonts w:ascii="Arial" w:eastAsia="Times New Roman" w:hAnsi="Arial"/>
                <w:szCs w:val="20"/>
                <w:lang w:eastAsia="sv-SE"/>
              </w:rPr>
            </w:pPr>
            <w:r w:rsidRPr="00BE1D86">
              <w:rPr>
                <w:rFonts w:ascii="Arial" w:eastAsia="Times New Roman" w:hAnsi="Arial"/>
                <w:szCs w:val="20"/>
                <w:lang w:eastAsia="sv-SE"/>
              </w:rPr>
              <w:t>- 0,2 %</w:t>
            </w:r>
          </w:p>
        </w:tc>
      </w:tr>
      <w:tr w:rsidR="00395811" w:rsidRPr="001E06E7" w:rsidTr="00841BED">
        <w:trPr>
          <w:trHeight w:val="300"/>
        </w:trPr>
        <w:tc>
          <w:tcPr>
            <w:tcW w:w="4547" w:type="dxa"/>
            <w:noWrap/>
            <w:vAlign w:val="bottom"/>
          </w:tcPr>
          <w:p w:rsidR="00395811" w:rsidRPr="00395811" w:rsidRDefault="00395811" w:rsidP="00841BED">
            <w:pPr>
              <w:pStyle w:val="Tabelltext"/>
            </w:pPr>
            <w:r w:rsidRPr="00395811">
              <w:t>Antal arbetsorder rekonditionering</w:t>
            </w:r>
          </w:p>
        </w:tc>
        <w:tc>
          <w:tcPr>
            <w:tcW w:w="1684" w:type="dxa"/>
            <w:vAlign w:val="bottom"/>
          </w:tcPr>
          <w:p w:rsidR="00395811" w:rsidRPr="00395811" w:rsidRDefault="00395811" w:rsidP="00841BED">
            <w:pPr>
              <w:pStyle w:val="Tabelltext"/>
              <w:rPr>
                <w:rFonts w:eastAsia="Times New Roman"/>
                <w:lang w:eastAsia="sv-SE"/>
              </w:rPr>
            </w:pPr>
            <w:r w:rsidRPr="00395811">
              <w:rPr>
                <w:rFonts w:eastAsia="Times New Roman"/>
                <w:lang w:eastAsia="sv-SE"/>
              </w:rPr>
              <w:t>15 753</w:t>
            </w:r>
          </w:p>
        </w:tc>
        <w:tc>
          <w:tcPr>
            <w:tcW w:w="1684" w:type="dxa"/>
            <w:vAlign w:val="bottom"/>
          </w:tcPr>
          <w:p w:rsidR="00395811" w:rsidRPr="00BE1D86" w:rsidRDefault="00CF080B" w:rsidP="00841BED">
            <w:pPr>
              <w:pStyle w:val="Tabelltext"/>
              <w:rPr>
                <w:rFonts w:eastAsia="Times New Roman"/>
                <w:lang w:eastAsia="sv-SE"/>
              </w:rPr>
            </w:pPr>
            <w:r w:rsidRPr="00BE1D86">
              <w:rPr>
                <w:rFonts w:eastAsia="Times New Roman"/>
                <w:lang w:eastAsia="sv-SE"/>
              </w:rPr>
              <w:t>15 797</w:t>
            </w:r>
          </w:p>
        </w:tc>
        <w:tc>
          <w:tcPr>
            <w:tcW w:w="1425" w:type="dxa"/>
            <w:shd w:val="clear" w:color="auto" w:fill="FFFFFF"/>
            <w:noWrap/>
            <w:vAlign w:val="bottom"/>
          </w:tcPr>
          <w:p w:rsidR="00395811" w:rsidRPr="00BE1D86" w:rsidRDefault="00CF080B" w:rsidP="00841BED">
            <w:pPr>
              <w:pStyle w:val="Tabelltext"/>
              <w:rPr>
                <w:rFonts w:ascii="Arial" w:eastAsia="Times New Roman" w:hAnsi="Arial"/>
                <w:szCs w:val="20"/>
                <w:lang w:eastAsia="sv-SE"/>
              </w:rPr>
            </w:pPr>
            <w:r w:rsidRPr="00BE1D86">
              <w:rPr>
                <w:rFonts w:ascii="Arial" w:eastAsia="Times New Roman" w:hAnsi="Arial"/>
                <w:szCs w:val="20"/>
                <w:lang w:eastAsia="sv-SE"/>
              </w:rPr>
              <w:t>0,3 %</w:t>
            </w:r>
          </w:p>
        </w:tc>
      </w:tr>
      <w:tr w:rsidR="00395811" w:rsidRPr="001E06E7" w:rsidTr="00841BED">
        <w:trPr>
          <w:trHeight w:val="300"/>
        </w:trPr>
        <w:tc>
          <w:tcPr>
            <w:tcW w:w="4547" w:type="dxa"/>
            <w:noWrap/>
            <w:vAlign w:val="bottom"/>
            <w:hideMark/>
          </w:tcPr>
          <w:p w:rsidR="00395811" w:rsidRPr="00395811" w:rsidRDefault="00395811" w:rsidP="00841BED">
            <w:pPr>
              <w:pStyle w:val="Tabelltext"/>
            </w:pPr>
            <w:r w:rsidRPr="00395811">
              <w:t>Antal konsulentremisser (utprovning)</w:t>
            </w:r>
          </w:p>
        </w:tc>
        <w:tc>
          <w:tcPr>
            <w:tcW w:w="1684" w:type="dxa"/>
            <w:vAlign w:val="bottom"/>
          </w:tcPr>
          <w:p w:rsidR="00395811" w:rsidRPr="00395811" w:rsidRDefault="00395811" w:rsidP="00841BED">
            <w:pPr>
              <w:pStyle w:val="Tabelltext"/>
              <w:rPr>
                <w:rFonts w:eastAsia="Times New Roman"/>
                <w:lang w:eastAsia="sv-SE"/>
              </w:rPr>
            </w:pPr>
            <w:r w:rsidRPr="00395811">
              <w:rPr>
                <w:rFonts w:eastAsia="Times New Roman"/>
                <w:lang w:eastAsia="sv-SE"/>
              </w:rPr>
              <w:t>1 111</w:t>
            </w:r>
          </w:p>
        </w:tc>
        <w:tc>
          <w:tcPr>
            <w:tcW w:w="1684" w:type="dxa"/>
            <w:vAlign w:val="bottom"/>
          </w:tcPr>
          <w:p w:rsidR="00395811" w:rsidRPr="00BE1D86" w:rsidRDefault="00CF080B" w:rsidP="00841BED">
            <w:pPr>
              <w:pStyle w:val="Tabelltext"/>
              <w:rPr>
                <w:rFonts w:eastAsia="Times New Roman"/>
                <w:lang w:eastAsia="sv-SE"/>
              </w:rPr>
            </w:pPr>
            <w:r w:rsidRPr="00BE1D86">
              <w:rPr>
                <w:rFonts w:eastAsia="Times New Roman"/>
                <w:lang w:eastAsia="sv-SE"/>
              </w:rPr>
              <w:t>1 135</w:t>
            </w:r>
          </w:p>
        </w:tc>
        <w:tc>
          <w:tcPr>
            <w:tcW w:w="1425" w:type="dxa"/>
            <w:shd w:val="clear" w:color="auto" w:fill="FFFFFF"/>
            <w:noWrap/>
            <w:vAlign w:val="bottom"/>
          </w:tcPr>
          <w:p w:rsidR="00395811" w:rsidRPr="00BE1D86" w:rsidRDefault="00CF080B" w:rsidP="00841BED">
            <w:pPr>
              <w:pStyle w:val="Tabelltext"/>
              <w:rPr>
                <w:rFonts w:ascii="Arial" w:eastAsia="Times New Roman" w:hAnsi="Arial"/>
                <w:szCs w:val="20"/>
                <w:lang w:eastAsia="sv-SE"/>
              </w:rPr>
            </w:pPr>
            <w:r w:rsidRPr="00BE1D86">
              <w:rPr>
                <w:rFonts w:ascii="Arial" w:eastAsia="Times New Roman" w:hAnsi="Arial"/>
                <w:szCs w:val="20"/>
                <w:lang w:eastAsia="sv-SE"/>
              </w:rPr>
              <w:t>2,3 %</w:t>
            </w:r>
          </w:p>
        </w:tc>
      </w:tr>
      <w:tr w:rsidR="00395811" w:rsidRPr="001E06E7" w:rsidTr="00841BED">
        <w:trPr>
          <w:trHeight w:val="300"/>
        </w:trPr>
        <w:tc>
          <w:tcPr>
            <w:tcW w:w="4547" w:type="dxa"/>
            <w:noWrap/>
            <w:vAlign w:val="bottom"/>
            <w:hideMark/>
          </w:tcPr>
          <w:p w:rsidR="00395811" w:rsidRPr="00395811" w:rsidRDefault="002F096A" w:rsidP="00841BED">
            <w:pPr>
              <w:pStyle w:val="Tabelltext"/>
            </w:pPr>
            <w:r>
              <w:t>Antal arbetsorder t</w:t>
            </w:r>
            <w:r w:rsidR="00395811" w:rsidRPr="00395811">
              <w:t>eknisk service</w:t>
            </w:r>
          </w:p>
        </w:tc>
        <w:tc>
          <w:tcPr>
            <w:tcW w:w="1684" w:type="dxa"/>
            <w:vAlign w:val="bottom"/>
          </w:tcPr>
          <w:p w:rsidR="00395811" w:rsidRPr="00395811" w:rsidRDefault="00395811" w:rsidP="00841BED">
            <w:pPr>
              <w:pStyle w:val="Tabelltext"/>
              <w:rPr>
                <w:rFonts w:eastAsia="Times New Roman"/>
                <w:lang w:eastAsia="sv-SE"/>
              </w:rPr>
            </w:pPr>
            <w:r w:rsidRPr="00395811">
              <w:rPr>
                <w:rFonts w:eastAsia="Times New Roman"/>
                <w:lang w:eastAsia="sv-SE"/>
              </w:rPr>
              <w:t>11 251</w:t>
            </w:r>
          </w:p>
        </w:tc>
        <w:tc>
          <w:tcPr>
            <w:tcW w:w="1684" w:type="dxa"/>
            <w:vAlign w:val="bottom"/>
          </w:tcPr>
          <w:p w:rsidR="00395811" w:rsidRPr="00BE1D86" w:rsidRDefault="00CF080B" w:rsidP="00841BED">
            <w:pPr>
              <w:pStyle w:val="Tabelltext"/>
              <w:rPr>
                <w:rFonts w:eastAsia="Times New Roman"/>
                <w:lang w:eastAsia="sv-SE"/>
              </w:rPr>
            </w:pPr>
            <w:r w:rsidRPr="00BE1D86">
              <w:rPr>
                <w:rFonts w:eastAsia="Times New Roman"/>
                <w:lang w:eastAsia="sv-SE"/>
              </w:rPr>
              <w:t>11 021</w:t>
            </w:r>
          </w:p>
        </w:tc>
        <w:tc>
          <w:tcPr>
            <w:tcW w:w="1425" w:type="dxa"/>
            <w:shd w:val="clear" w:color="auto" w:fill="FFFFFF"/>
            <w:noWrap/>
            <w:vAlign w:val="bottom"/>
          </w:tcPr>
          <w:p w:rsidR="00395811" w:rsidRPr="00BE1D86" w:rsidRDefault="00CF080B" w:rsidP="00841BED">
            <w:pPr>
              <w:pStyle w:val="Tabelltext"/>
              <w:rPr>
                <w:rFonts w:ascii="Arial" w:eastAsia="Times New Roman" w:hAnsi="Arial"/>
                <w:szCs w:val="20"/>
                <w:lang w:eastAsia="sv-SE"/>
              </w:rPr>
            </w:pPr>
            <w:r w:rsidRPr="00BE1D86">
              <w:rPr>
                <w:rFonts w:ascii="Arial" w:eastAsia="Times New Roman" w:hAnsi="Arial"/>
                <w:szCs w:val="20"/>
                <w:lang w:eastAsia="sv-SE"/>
              </w:rPr>
              <w:t>- 2,0 %</w:t>
            </w:r>
          </w:p>
        </w:tc>
      </w:tr>
      <w:tr w:rsidR="00395811" w:rsidRPr="001E06E7" w:rsidTr="00841BED">
        <w:trPr>
          <w:trHeight w:val="300"/>
        </w:trPr>
        <w:tc>
          <w:tcPr>
            <w:tcW w:w="4547" w:type="dxa"/>
            <w:noWrap/>
            <w:vAlign w:val="bottom"/>
            <w:hideMark/>
          </w:tcPr>
          <w:p w:rsidR="00395811" w:rsidRPr="00395811" w:rsidRDefault="00395811" w:rsidP="00841BED">
            <w:pPr>
              <w:pStyle w:val="Tabelltext"/>
            </w:pPr>
            <w:r w:rsidRPr="00395811">
              <w:t>Antal kundtjänstsamtal</w:t>
            </w:r>
          </w:p>
        </w:tc>
        <w:tc>
          <w:tcPr>
            <w:tcW w:w="1684" w:type="dxa"/>
            <w:vAlign w:val="bottom"/>
          </w:tcPr>
          <w:p w:rsidR="00395811" w:rsidRPr="00395811" w:rsidRDefault="00395811" w:rsidP="00841BED">
            <w:pPr>
              <w:pStyle w:val="Tabelltext"/>
              <w:rPr>
                <w:rFonts w:eastAsia="Times New Roman"/>
                <w:lang w:eastAsia="sv-SE"/>
              </w:rPr>
            </w:pPr>
            <w:r w:rsidRPr="00395811">
              <w:rPr>
                <w:rFonts w:eastAsia="Times New Roman"/>
                <w:lang w:eastAsia="sv-SE"/>
              </w:rPr>
              <w:t>21 530</w:t>
            </w:r>
          </w:p>
        </w:tc>
        <w:tc>
          <w:tcPr>
            <w:tcW w:w="1684" w:type="dxa"/>
            <w:vAlign w:val="bottom"/>
          </w:tcPr>
          <w:p w:rsidR="00395811" w:rsidRPr="00BE1D86" w:rsidRDefault="00CF080B" w:rsidP="00841BED">
            <w:pPr>
              <w:pStyle w:val="Tabelltext"/>
              <w:rPr>
                <w:rFonts w:eastAsia="Times New Roman"/>
                <w:lang w:eastAsia="sv-SE"/>
              </w:rPr>
            </w:pPr>
            <w:r w:rsidRPr="00BE1D86">
              <w:rPr>
                <w:rFonts w:eastAsia="Times New Roman"/>
                <w:lang w:eastAsia="sv-SE"/>
              </w:rPr>
              <w:t>20 568</w:t>
            </w:r>
          </w:p>
        </w:tc>
        <w:tc>
          <w:tcPr>
            <w:tcW w:w="1425" w:type="dxa"/>
            <w:shd w:val="clear" w:color="auto" w:fill="FFFFFF"/>
            <w:noWrap/>
            <w:vAlign w:val="bottom"/>
          </w:tcPr>
          <w:p w:rsidR="00395811" w:rsidRPr="00BE1D86" w:rsidRDefault="00CF080B" w:rsidP="00841BED">
            <w:pPr>
              <w:pStyle w:val="Tabelltext"/>
              <w:rPr>
                <w:rFonts w:ascii="Arial" w:eastAsia="Times New Roman" w:hAnsi="Arial"/>
                <w:szCs w:val="20"/>
                <w:lang w:eastAsia="sv-SE"/>
              </w:rPr>
            </w:pPr>
            <w:r w:rsidRPr="00BE1D86">
              <w:rPr>
                <w:rFonts w:ascii="Arial" w:eastAsia="Times New Roman" w:hAnsi="Arial"/>
                <w:szCs w:val="20"/>
                <w:lang w:eastAsia="sv-SE"/>
              </w:rPr>
              <w:t>- 4,5 %</w:t>
            </w:r>
          </w:p>
        </w:tc>
      </w:tr>
      <w:tr w:rsidR="00395811" w:rsidRPr="001E06E7" w:rsidTr="00841BED">
        <w:trPr>
          <w:trHeight w:val="300"/>
        </w:trPr>
        <w:tc>
          <w:tcPr>
            <w:tcW w:w="4547" w:type="dxa"/>
            <w:noWrap/>
            <w:vAlign w:val="bottom"/>
            <w:hideMark/>
          </w:tcPr>
          <w:p w:rsidR="00395811" w:rsidRPr="00395811" w:rsidRDefault="00395811" w:rsidP="00841BED">
            <w:pPr>
              <w:pStyle w:val="Tabelltext"/>
            </w:pPr>
            <w:r w:rsidRPr="00395811">
              <w:t>Antal hämtordrar</w:t>
            </w:r>
          </w:p>
        </w:tc>
        <w:tc>
          <w:tcPr>
            <w:tcW w:w="1684" w:type="dxa"/>
            <w:shd w:val="clear" w:color="auto" w:fill="FFFFFF"/>
            <w:vAlign w:val="bottom"/>
          </w:tcPr>
          <w:p w:rsidR="00395811" w:rsidRPr="00395811" w:rsidRDefault="00395811" w:rsidP="00841BED">
            <w:pPr>
              <w:pStyle w:val="Tabelltext"/>
              <w:rPr>
                <w:rFonts w:eastAsia="Times New Roman"/>
                <w:lang w:eastAsia="sv-SE"/>
              </w:rPr>
            </w:pPr>
            <w:r w:rsidRPr="00395811">
              <w:rPr>
                <w:rFonts w:eastAsia="Times New Roman"/>
                <w:lang w:eastAsia="sv-SE"/>
              </w:rPr>
              <w:t>17 575</w:t>
            </w:r>
          </w:p>
        </w:tc>
        <w:tc>
          <w:tcPr>
            <w:tcW w:w="1684" w:type="dxa"/>
            <w:shd w:val="clear" w:color="auto" w:fill="FFFFFF"/>
            <w:vAlign w:val="bottom"/>
          </w:tcPr>
          <w:p w:rsidR="00395811" w:rsidRPr="00BE1D86" w:rsidRDefault="004D309E" w:rsidP="00841BED">
            <w:pPr>
              <w:pStyle w:val="Tabelltext"/>
              <w:rPr>
                <w:rFonts w:eastAsia="Times New Roman"/>
                <w:lang w:eastAsia="sv-SE"/>
              </w:rPr>
            </w:pPr>
            <w:r w:rsidRPr="00BE1D86">
              <w:rPr>
                <w:rFonts w:eastAsia="Times New Roman"/>
                <w:lang w:eastAsia="sv-SE"/>
              </w:rPr>
              <w:t>17 617</w:t>
            </w:r>
          </w:p>
        </w:tc>
        <w:tc>
          <w:tcPr>
            <w:tcW w:w="1425" w:type="dxa"/>
            <w:shd w:val="clear" w:color="auto" w:fill="FFFFFF"/>
            <w:noWrap/>
            <w:vAlign w:val="bottom"/>
          </w:tcPr>
          <w:p w:rsidR="00395811" w:rsidRPr="00BE1D86" w:rsidRDefault="004D309E" w:rsidP="00841BED">
            <w:pPr>
              <w:pStyle w:val="Tabelltext"/>
              <w:rPr>
                <w:rFonts w:ascii="Arial" w:hAnsi="Arial"/>
              </w:rPr>
            </w:pPr>
            <w:r w:rsidRPr="00BE1D86">
              <w:rPr>
                <w:rFonts w:ascii="Arial" w:hAnsi="Arial"/>
              </w:rPr>
              <w:t>0,2 %</w:t>
            </w:r>
          </w:p>
        </w:tc>
      </w:tr>
    </w:tbl>
    <w:p w:rsidR="002F096A" w:rsidRDefault="002F096A" w:rsidP="00AA5943">
      <w:pPr>
        <w:tabs>
          <w:tab w:val="decimal" w:pos="6804"/>
        </w:tabs>
        <w:spacing w:line="240" w:lineRule="auto"/>
        <w:ind w:right="340"/>
        <w:rPr>
          <w:rFonts w:cs="Calibri"/>
        </w:rPr>
      </w:pPr>
    </w:p>
    <w:p w:rsidR="008A15F9" w:rsidRDefault="00AA5943" w:rsidP="00B820CB">
      <w:pPr>
        <w:tabs>
          <w:tab w:val="decimal" w:pos="6804"/>
        </w:tabs>
        <w:ind w:right="340"/>
        <w:rPr>
          <w:rFonts w:cs="Calibri"/>
        </w:rPr>
      </w:pPr>
      <w:r w:rsidRPr="00395811">
        <w:rPr>
          <w:rFonts w:cs="Calibri"/>
        </w:rPr>
        <w:lastRenderedPageBreak/>
        <w:t xml:space="preserve">Beställningarna har ökat med </w:t>
      </w:r>
      <w:r w:rsidR="004D309E">
        <w:rPr>
          <w:rFonts w:cs="Calibri"/>
        </w:rPr>
        <w:t>3,3</w:t>
      </w:r>
      <w:r w:rsidRPr="00395811">
        <w:rPr>
          <w:rFonts w:cs="Calibri"/>
        </w:rPr>
        <w:t xml:space="preserve"> %</w:t>
      </w:r>
      <w:r w:rsidR="00BB3BFD">
        <w:rPr>
          <w:rFonts w:cs="Calibri"/>
        </w:rPr>
        <w:t xml:space="preserve"> vilket bryter de senaste årens trend med stora årliga beställningsökningar.</w:t>
      </w:r>
      <w:r w:rsidR="00A71043">
        <w:rPr>
          <w:rFonts w:cs="Calibri"/>
        </w:rPr>
        <w:t xml:space="preserve"> </w:t>
      </w:r>
    </w:p>
    <w:p w:rsidR="00AA5943" w:rsidRPr="001E06E7" w:rsidRDefault="00AA5943" w:rsidP="00B820CB">
      <w:pPr>
        <w:tabs>
          <w:tab w:val="decimal" w:pos="6804"/>
        </w:tabs>
        <w:ind w:right="340"/>
        <w:rPr>
          <w:rFonts w:cs="Calibri"/>
          <w:color w:val="FF0000"/>
        </w:rPr>
      </w:pPr>
      <w:r w:rsidRPr="00395811">
        <w:rPr>
          <w:rFonts w:cs="Calibri"/>
        </w:rPr>
        <w:t xml:space="preserve">Antalet returnerade hjälpmedel har </w:t>
      </w:r>
      <w:r w:rsidR="004D309E" w:rsidRPr="00BE1D86">
        <w:rPr>
          <w:rFonts w:cs="Calibri"/>
        </w:rPr>
        <w:t xml:space="preserve">minskat </w:t>
      </w:r>
      <w:r w:rsidRPr="00BE1D86">
        <w:rPr>
          <w:rFonts w:cs="Calibri"/>
        </w:rPr>
        <w:t xml:space="preserve">med </w:t>
      </w:r>
      <w:r w:rsidR="004D309E" w:rsidRPr="00BE1D86">
        <w:rPr>
          <w:rFonts w:cs="Calibri"/>
        </w:rPr>
        <w:t>0,2</w:t>
      </w:r>
      <w:r w:rsidRPr="00BE1D86">
        <w:rPr>
          <w:rFonts w:cs="Calibri"/>
        </w:rPr>
        <w:t xml:space="preserve"> %, av dessa har en </w:t>
      </w:r>
      <w:r w:rsidR="004D309E" w:rsidRPr="00BE1D86">
        <w:rPr>
          <w:rFonts w:cs="Calibri"/>
        </w:rPr>
        <w:t>ökning</w:t>
      </w:r>
      <w:r w:rsidR="002F096A">
        <w:rPr>
          <w:rFonts w:cs="Calibri"/>
        </w:rPr>
        <w:t xml:space="preserve"> av antalet arbetsordrar</w:t>
      </w:r>
      <w:r w:rsidRPr="00BE1D86">
        <w:rPr>
          <w:rFonts w:cs="Calibri"/>
        </w:rPr>
        <w:t xml:space="preserve"> till rekonditionering skett med </w:t>
      </w:r>
      <w:r w:rsidR="004D309E" w:rsidRPr="00BE1D86">
        <w:rPr>
          <w:rFonts w:cs="Calibri"/>
        </w:rPr>
        <w:t>0,3</w:t>
      </w:r>
      <w:r w:rsidRPr="00BE1D86">
        <w:rPr>
          <w:rFonts w:cs="Calibri"/>
        </w:rPr>
        <w:t xml:space="preserve"> %</w:t>
      </w:r>
      <w:r w:rsidR="00491CC3" w:rsidRPr="00BE1D86">
        <w:rPr>
          <w:rFonts w:cs="Calibri"/>
        </w:rPr>
        <w:t>.</w:t>
      </w:r>
    </w:p>
    <w:p w:rsidR="000F5016" w:rsidRPr="000F5016" w:rsidRDefault="000F5016" w:rsidP="00B820CB">
      <w:pPr>
        <w:pStyle w:val="Brdtext"/>
        <w:spacing w:line="276" w:lineRule="auto"/>
        <w:ind w:right="-284"/>
      </w:pPr>
      <w:r w:rsidRPr="000F5016">
        <w:rPr>
          <w:rFonts w:cs="Calibri"/>
        </w:rPr>
        <w:t xml:space="preserve">Antalet utprovningsärenden har ökat med 2,3 % </w:t>
      </w:r>
      <w:r w:rsidRPr="000F5016">
        <w:t>trots fortsatt arbete för att förskrivar</w:t>
      </w:r>
      <w:r w:rsidR="008A15F9">
        <w:t>e</w:t>
      </w:r>
      <w:r w:rsidRPr="000F5016">
        <w:t xml:space="preserve"> själv</w:t>
      </w:r>
      <w:r w:rsidR="002F096A">
        <w:t>a</w:t>
      </w:r>
      <w:r w:rsidRPr="000F5016">
        <w:t xml:space="preserve"> ska klara utprovning, bland annat genom utbildning och ändrade arbetssätt. </w:t>
      </w:r>
    </w:p>
    <w:p w:rsidR="000F5016" w:rsidRPr="00265C35" w:rsidRDefault="000F5016" w:rsidP="00B820CB">
      <w:pPr>
        <w:pStyle w:val="Brdtext"/>
        <w:spacing w:line="276" w:lineRule="auto"/>
        <w:ind w:right="-284"/>
        <w:rPr>
          <w:rFonts w:cs="Calibri"/>
        </w:rPr>
      </w:pPr>
      <w:r w:rsidRPr="000F5016">
        <w:rPr>
          <w:rFonts w:cs="Calibri"/>
        </w:rPr>
        <w:t xml:space="preserve">Antal ärenden reparationer/service av hjälpmedel har minskat med 2 %. </w:t>
      </w:r>
      <w:r>
        <w:rPr>
          <w:rFonts w:cs="Calibri"/>
        </w:rPr>
        <w:t>Det</w:t>
      </w:r>
      <w:r w:rsidRPr="000F5016">
        <w:rPr>
          <w:rFonts w:cs="Calibri"/>
        </w:rPr>
        <w:t xml:space="preserve"> beror </w:t>
      </w:r>
      <w:r>
        <w:rPr>
          <w:rFonts w:cs="Calibri"/>
        </w:rPr>
        <w:t>dels</w:t>
      </w:r>
      <w:r w:rsidRPr="000F5016">
        <w:rPr>
          <w:rFonts w:cs="Calibri"/>
        </w:rPr>
        <w:t xml:space="preserve"> på minskning av förebyggande underhåll och att drygt 2000 nya rollatorer har ersatt gamla rollatorer med </w:t>
      </w:r>
      <w:r w:rsidRPr="00265C35">
        <w:rPr>
          <w:rFonts w:cs="Calibri"/>
        </w:rPr>
        <w:t>servicebehov.</w:t>
      </w:r>
    </w:p>
    <w:p w:rsidR="000F5016" w:rsidRPr="00265C35" w:rsidRDefault="000F5016" w:rsidP="00B820CB">
      <w:pPr>
        <w:pStyle w:val="Brdtext"/>
        <w:spacing w:after="200" w:line="276" w:lineRule="auto"/>
        <w:rPr>
          <w:rFonts w:cs="Calibri"/>
        </w:rPr>
      </w:pPr>
      <w:r w:rsidRPr="00265C35">
        <w:rPr>
          <w:rFonts w:cs="Calibri"/>
          <w:bCs/>
        </w:rPr>
        <w:t>Antalet kundtjänstsamtal har minskat med 4,5 %</w:t>
      </w:r>
      <w:r w:rsidR="008A15F9" w:rsidRPr="00265C35">
        <w:rPr>
          <w:rFonts w:cs="Calibri"/>
          <w:bCs/>
        </w:rPr>
        <w:t>,</w:t>
      </w:r>
      <w:r w:rsidR="002F096A" w:rsidRPr="00265C35">
        <w:rPr>
          <w:rFonts w:cs="Calibri"/>
          <w:bCs/>
        </w:rPr>
        <w:t xml:space="preserve"> vilket bland annat</w:t>
      </w:r>
      <w:r w:rsidRPr="00265C35">
        <w:rPr>
          <w:rFonts w:cs="Calibri"/>
          <w:bCs/>
        </w:rPr>
        <w:t xml:space="preserve"> beror på en förskjutning av ärenden till arbetsplatsbrevlåda</w:t>
      </w:r>
      <w:r w:rsidRPr="00265C35">
        <w:rPr>
          <w:rStyle w:val="Fotnotsreferens"/>
          <w:rFonts w:cs="Calibri"/>
          <w:bCs/>
        </w:rPr>
        <w:footnoteReference w:id="1"/>
      </w:r>
      <w:r w:rsidR="00BE1D86" w:rsidRPr="00265C35">
        <w:rPr>
          <w:rFonts w:cs="Calibri"/>
          <w:bCs/>
        </w:rPr>
        <w:t xml:space="preserve"> där antalet ärenden har ökat med 21 % jämfört med 2016</w:t>
      </w:r>
      <w:r w:rsidRPr="00265C35">
        <w:rPr>
          <w:rFonts w:cs="Calibri"/>
          <w:bCs/>
        </w:rPr>
        <w:t xml:space="preserve">. </w:t>
      </w:r>
    </w:p>
    <w:p w:rsidR="00AA5943" w:rsidRPr="00265C35" w:rsidRDefault="00AA5943" w:rsidP="00B820CB">
      <w:pPr>
        <w:pStyle w:val="Brdtext"/>
        <w:spacing w:after="200" w:line="276" w:lineRule="auto"/>
        <w:rPr>
          <w:rFonts w:cs="Calibri"/>
        </w:rPr>
      </w:pPr>
      <w:r w:rsidRPr="00265C35">
        <w:rPr>
          <w:rFonts w:cs="Calibri"/>
        </w:rPr>
        <w:t xml:space="preserve">Antalet hämtordrar har </w:t>
      </w:r>
      <w:r w:rsidR="004D309E" w:rsidRPr="00265C35">
        <w:rPr>
          <w:rFonts w:cs="Calibri"/>
        </w:rPr>
        <w:t xml:space="preserve">ökat </w:t>
      </w:r>
      <w:r w:rsidRPr="00265C35">
        <w:rPr>
          <w:rFonts w:cs="Calibri"/>
        </w:rPr>
        <w:t xml:space="preserve">med </w:t>
      </w:r>
      <w:r w:rsidR="004D309E" w:rsidRPr="00265C35">
        <w:rPr>
          <w:rFonts w:cs="Calibri"/>
        </w:rPr>
        <w:t>0,2</w:t>
      </w:r>
      <w:r w:rsidRPr="00265C35">
        <w:rPr>
          <w:rFonts w:cs="Calibri"/>
        </w:rPr>
        <w:t xml:space="preserve"> % och följe</w:t>
      </w:r>
      <w:r w:rsidR="00491CC3" w:rsidRPr="00265C35">
        <w:rPr>
          <w:rFonts w:cs="Calibri"/>
        </w:rPr>
        <w:t>r antalet returnerade hjälpmedel.</w:t>
      </w:r>
    </w:p>
    <w:p w:rsidR="00AA5943" w:rsidRPr="00265C35" w:rsidRDefault="00AA5943" w:rsidP="00B820CB">
      <w:pPr>
        <w:pStyle w:val="Brdtext"/>
        <w:spacing w:line="276" w:lineRule="auto"/>
      </w:pPr>
      <w:r w:rsidRPr="00265C35">
        <w:t xml:space="preserve">Uthyrningsgraden har </w:t>
      </w:r>
      <w:r w:rsidR="00395811" w:rsidRPr="00265C35">
        <w:t>ökat</w:t>
      </w:r>
      <w:r w:rsidRPr="00265C35">
        <w:t xml:space="preserve"> från 9</w:t>
      </w:r>
      <w:r w:rsidR="00395811" w:rsidRPr="00265C35">
        <w:t>0,5</w:t>
      </w:r>
      <w:r w:rsidRPr="00265C35">
        <w:t xml:space="preserve"> % till </w:t>
      </w:r>
      <w:r w:rsidR="004D309E" w:rsidRPr="00265C35">
        <w:t>91,4</w:t>
      </w:r>
      <w:r w:rsidRPr="00265C35">
        <w:t xml:space="preserve"> % till följd av </w:t>
      </w:r>
      <w:r w:rsidR="00395811" w:rsidRPr="00265C35">
        <w:t xml:space="preserve">att </w:t>
      </w:r>
      <w:r w:rsidRPr="00265C35">
        <w:t>rollator</w:t>
      </w:r>
      <w:r w:rsidR="00491CC3" w:rsidRPr="00265C35">
        <w:t>utbytet har slutförts.</w:t>
      </w:r>
    </w:p>
    <w:p w:rsidR="00645F5C" w:rsidRPr="00265C35" w:rsidRDefault="00AA5943" w:rsidP="00B820CB">
      <w:pPr>
        <w:pStyle w:val="Brdtext"/>
        <w:spacing w:line="276" w:lineRule="auto"/>
      </w:pPr>
      <w:r w:rsidRPr="00265C35">
        <w:t xml:space="preserve">Antalet </w:t>
      </w:r>
      <w:r w:rsidR="004D309E" w:rsidRPr="00265C35">
        <w:t xml:space="preserve">uthyrda </w:t>
      </w:r>
      <w:r w:rsidRPr="00265C35">
        <w:t xml:space="preserve">individmärkta hjälpmedel har ökat </w:t>
      </w:r>
      <w:r w:rsidR="004D309E" w:rsidRPr="00265C35">
        <w:t>5,0</w:t>
      </w:r>
      <w:r w:rsidR="002F096A" w:rsidRPr="00265C35">
        <w:t xml:space="preserve"> %. På grund av</w:t>
      </w:r>
      <w:r w:rsidRPr="00265C35">
        <w:t xml:space="preserve"> effektiva processer har </w:t>
      </w:r>
      <w:r w:rsidRPr="000F5016">
        <w:t xml:space="preserve">hyresdebiteringen ökat med </w:t>
      </w:r>
      <w:r w:rsidR="00C0437D">
        <w:t>4,0</w:t>
      </w:r>
      <w:r w:rsidR="004D309E" w:rsidRPr="000F5016">
        <w:t xml:space="preserve"> </w:t>
      </w:r>
      <w:r w:rsidRPr="000F5016">
        <w:t>%</w:t>
      </w:r>
      <w:r w:rsidR="004D309E" w:rsidRPr="000F5016">
        <w:t xml:space="preserve"> </w:t>
      </w:r>
      <w:r w:rsidR="00C0437D">
        <w:t xml:space="preserve">exklusive årets </w:t>
      </w:r>
      <w:r w:rsidR="004D309E" w:rsidRPr="000F5016">
        <w:t>prisökning</w:t>
      </w:r>
      <w:r w:rsidR="000F5016">
        <w:t xml:space="preserve"> på </w:t>
      </w:r>
      <w:r w:rsidR="004D309E" w:rsidRPr="000F5016">
        <w:t xml:space="preserve">1,8 %. </w:t>
      </w:r>
      <w:r w:rsidR="000F5016">
        <w:t>Slutsatsen är att k</w:t>
      </w:r>
      <w:r w:rsidRPr="000F5016">
        <w:t xml:space="preserve">ostnadsutvecklingen </w:t>
      </w:r>
      <w:r w:rsidR="00F20C4D">
        <w:t xml:space="preserve">4,0 % </w:t>
      </w:r>
      <w:r w:rsidRPr="000F5016">
        <w:t>understiger volymutvecklingen</w:t>
      </w:r>
      <w:r w:rsidR="00AD0D68">
        <w:t xml:space="preserve"> 5,0 %</w:t>
      </w:r>
      <w:r w:rsidRPr="000F5016">
        <w:t xml:space="preserve"> vilket pekar mo</w:t>
      </w:r>
      <w:r w:rsidR="004D309E" w:rsidRPr="000F5016">
        <w:t xml:space="preserve">t en kostnadseffektiv </w:t>
      </w:r>
      <w:r w:rsidR="004D309E" w:rsidRPr="00265C35">
        <w:t>verksamhet.</w:t>
      </w:r>
      <w:r w:rsidR="000F5016" w:rsidRPr="00265C35">
        <w:t xml:space="preserve"> </w:t>
      </w:r>
    </w:p>
    <w:p w:rsidR="00265C35" w:rsidRPr="00B820CB" w:rsidRDefault="00265C35" w:rsidP="00645F5C">
      <w:pPr>
        <w:spacing w:after="0" w:line="240" w:lineRule="auto"/>
        <w:rPr>
          <w:rFonts w:eastAsia="Times New Roman"/>
          <w:b/>
          <w:bCs/>
          <w:color w:val="000000"/>
          <w:sz w:val="24"/>
          <w:szCs w:val="24"/>
          <w:lang w:eastAsia="sv-SE"/>
        </w:rPr>
      </w:pPr>
      <w:r w:rsidRPr="00B820CB">
        <w:rPr>
          <w:rFonts w:eastAsia="Times New Roman"/>
          <w:b/>
          <w:bCs/>
          <w:color w:val="000000"/>
          <w:sz w:val="24"/>
          <w:szCs w:val="24"/>
          <w:lang w:eastAsia="sv-SE"/>
        </w:rPr>
        <w:t>Antal personer som förskrivits inkontinenshjälpmedel</w:t>
      </w:r>
    </w:p>
    <w:tbl>
      <w:tblPr>
        <w:tblStyle w:val="Tabellrutnt"/>
        <w:tblW w:w="0" w:type="auto"/>
        <w:tblLook w:val="04A0" w:firstRow="1" w:lastRow="0" w:firstColumn="1" w:lastColumn="0" w:noHBand="0" w:noVBand="1"/>
      </w:tblPr>
      <w:tblGrid>
        <w:gridCol w:w="2407"/>
        <w:gridCol w:w="2407"/>
        <w:gridCol w:w="2407"/>
        <w:gridCol w:w="2407"/>
      </w:tblGrid>
      <w:tr w:rsidR="00265C35" w:rsidRPr="00265C35" w:rsidTr="00265C35">
        <w:tc>
          <w:tcPr>
            <w:tcW w:w="2407" w:type="dxa"/>
            <w:shd w:val="clear" w:color="auto" w:fill="B4C6E7" w:themeFill="accent5" w:themeFillTint="66"/>
          </w:tcPr>
          <w:p w:rsidR="00265C35" w:rsidRPr="00265C35" w:rsidRDefault="00265C35" w:rsidP="00265C35">
            <w:pPr>
              <w:pStyle w:val="Tabelltext"/>
              <w:rPr>
                <w:b/>
              </w:rPr>
            </w:pPr>
            <w:r w:rsidRPr="00265C35">
              <w:rPr>
                <w:b/>
              </w:rPr>
              <w:t>Åldersintervall</w:t>
            </w:r>
          </w:p>
        </w:tc>
        <w:tc>
          <w:tcPr>
            <w:tcW w:w="2407" w:type="dxa"/>
            <w:shd w:val="clear" w:color="auto" w:fill="B4C6E7" w:themeFill="accent5" w:themeFillTint="66"/>
          </w:tcPr>
          <w:p w:rsidR="00265C35" w:rsidRPr="00265C35" w:rsidRDefault="00265C35" w:rsidP="00265C35">
            <w:pPr>
              <w:pStyle w:val="Tabelltext"/>
              <w:rPr>
                <w:b/>
              </w:rPr>
            </w:pPr>
            <w:r w:rsidRPr="00265C35">
              <w:rPr>
                <w:b/>
              </w:rPr>
              <w:t>Kvinna</w:t>
            </w:r>
          </w:p>
        </w:tc>
        <w:tc>
          <w:tcPr>
            <w:tcW w:w="2407" w:type="dxa"/>
            <w:shd w:val="clear" w:color="auto" w:fill="B4C6E7" w:themeFill="accent5" w:themeFillTint="66"/>
          </w:tcPr>
          <w:p w:rsidR="00265C35" w:rsidRPr="00265C35" w:rsidRDefault="00265C35" w:rsidP="00265C35">
            <w:pPr>
              <w:pStyle w:val="Tabelltext"/>
              <w:rPr>
                <w:b/>
              </w:rPr>
            </w:pPr>
            <w:r w:rsidRPr="00265C35">
              <w:rPr>
                <w:b/>
              </w:rPr>
              <w:t>Man</w:t>
            </w:r>
          </w:p>
        </w:tc>
        <w:tc>
          <w:tcPr>
            <w:tcW w:w="2407" w:type="dxa"/>
            <w:shd w:val="clear" w:color="auto" w:fill="B4C6E7" w:themeFill="accent5" w:themeFillTint="66"/>
          </w:tcPr>
          <w:p w:rsidR="00265C35" w:rsidRPr="00265C35" w:rsidRDefault="00265C35" w:rsidP="00265C35">
            <w:pPr>
              <w:pStyle w:val="Tabelltext"/>
              <w:rPr>
                <w:b/>
              </w:rPr>
            </w:pPr>
            <w:r w:rsidRPr="00265C35">
              <w:rPr>
                <w:b/>
              </w:rPr>
              <w:t>Totalt</w:t>
            </w:r>
          </w:p>
        </w:tc>
      </w:tr>
      <w:tr w:rsidR="00265C35" w:rsidRPr="00265C35" w:rsidTr="00265C35">
        <w:tc>
          <w:tcPr>
            <w:tcW w:w="2407" w:type="dxa"/>
          </w:tcPr>
          <w:p w:rsidR="00265C35" w:rsidRPr="00265C35" w:rsidRDefault="00265C35" w:rsidP="00265C35">
            <w:pPr>
              <w:pStyle w:val="Tabelltext"/>
            </w:pPr>
            <w:r w:rsidRPr="00265C35">
              <w:t>-19</w:t>
            </w:r>
          </w:p>
        </w:tc>
        <w:tc>
          <w:tcPr>
            <w:tcW w:w="2407" w:type="dxa"/>
          </w:tcPr>
          <w:p w:rsidR="00265C35" w:rsidRPr="00265C35" w:rsidRDefault="00265C35" w:rsidP="00265C35">
            <w:pPr>
              <w:pStyle w:val="Tabelltext"/>
            </w:pPr>
            <w:r w:rsidRPr="00265C35">
              <w:t>125</w:t>
            </w:r>
          </w:p>
        </w:tc>
        <w:tc>
          <w:tcPr>
            <w:tcW w:w="2407" w:type="dxa"/>
          </w:tcPr>
          <w:p w:rsidR="00265C35" w:rsidRPr="00265C35" w:rsidRDefault="00265C35" w:rsidP="00265C35">
            <w:pPr>
              <w:pStyle w:val="Tabelltext"/>
            </w:pPr>
            <w:r w:rsidRPr="00265C35">
              <w:t>183</w:t>
            </w:r>
          </w:p>
        </w:tc>
        <w:tc>
          <w:tcPr>
            <w:tcW w:w="2407" w:type="dxa"/>
          </w:tcPr>
          <w:p w:rsidR="00265C35" w:rsidRPr="00265C35" w:rsidRDefault="00265C35" w:rsidP="00265C35">
            <w:pPr>
              <w:pStyle w:val="Tabelltext"/>
            </w:pPr>
            <w:r w:rsidRPr="00265C35">
              <w:t>308</w:t>
            </w:r>
          </w:p>
        </w:tc>
      </w:tr>
      <w:tr w:rsidR="00265C35" w:rsidRPr="00265C35" w:rsidTr="00265C35">
        <w:tc>
          <w:tcPr>
            <w:tcW w:w="2407" w:type="dxa"/>
          </w:tcPr>
          <w:p w:rsidR="00265C35" w:rsidRPr="00265C35" w:rsidRDefault="00265C35" w:rsidP="00265C35">
            <w:pPr>
              <w:pStyle w:val="Tabelltext"/>
            </w:pPr>
            <w:r w:rsidRPr="00265C35">
              <w:t>20-64</w:t>
            </w:r>
          </w:p>
        </w:tc>
        <w:tc>
          <w:tcPr>
            <w:tcW w:w="2407" w:type="dxa"/>
          </w:tcPr>
          <w:p w:rsidR="00265C35" w:rsidRPr="00265C35" w:rsidRDefault="00265C35" w:rsidP="00265C35">
            <w:pPr>
              <w:pStyle w:val="Tabelltext"/>
            </w:pPr>
            <w:r w:rsidRPr="00265C35">
              <w:t>807</w:t>
            </w:r>
          </w:p>
        </w:tc>
        <w:tc>
          <w:tcPr>
            <w:tcW w:w="2407" w:type="dxa"/>
          </w:tcPr>
          <w:p w:rsidR="00265C35" w:rsidRPr="00265C35" w:rsidRDefault="00265C35" w:rsidP="00265C35">
            <w:pPr>
              <w:pStyle w:val="Tabelltext"/>
            </w:pPr>
            <w:r w:rsidRPr="00265C35">
              <w:t>481</w:t>
            </w:r>
          </w:p>
        </w:tc>
        <w:tc>
          <w:tcPr>
            <w:tcW w:w="2407" w:type="dxa"/>
          </w:tcPr>
          <w:p w:rsidR="00265C35" w:rsidRPr="00265C35" w:rsidRDefault="00265C35" w:rsidP="00265C35">
            <w:pPr>
              <w:pStyle w:val="Tabelltext"/>
            </w:pPr>
            <w:r w:rsidRPr="00265C35">
              <w:t>1 288</w:t>
            </w:r>
          </w:p>
        </w:tc>
      </w:tr>
      <w:tr w:rsidR="00265C35" w:rsidRPr="00265C35" w:rsidTr="00265C35">
        <w:tc>
          <w:tcPr>
            <w:tcW w:w="2407" w:type="dxa"/>
          </w:tcPr>
          <w:p w:rsidR="00265C35" w:rsidRPr="00265C35" w:rsidRDefault="00265C35" w:rsidP="00265C35">
            <w:pPr>
              <w:pStyle w:val="Tabelltext"/>
            </w:pPr>
            <w:r w:rsidRPr="00265C35">
              <w:t>65-79</w:t>
            </w:r>
          </w:p>
        </w:tc>
        <w:tc>
          <w:tcPr>
            <w:tcW w:w="2407" w:type="dxa"/>
          </w:tcPr>
          <w:p w:rsidR="00265C35" w:rsidRPr="00265C35" w:rsidRDefault="00265C35" w:rsidP="00265C35">
            <w:pPr>
              <w:pStyle w:val="Tabelltext"/>
            </w:pPr>
            <w:r w:rsidRPr="00265C35">
              <w:t>1 499</w:t>
            </w:r>
          </w:p>
        </w:tc>
        <w:tc>
          <w:tcPr>
            <w:tcW w:w="2407" w:type="dxa"/>
          </w:tcPr>
          <w:p w:rsidR="00265C35" w:rsidRPr="00265C35" w:rsidRDefault="00265C35" w:rsidP="00265C35">
            <w:pPr>
              <w:pStyle w:val="Tabelltext"/>
            </w:pPr>
            <w:r w:rsidRPr="00265C35">
              <w:t>1 105</w:t>
            </w:r>
          </w:p>
        </w:tc>
        <w:tc>
          <w:tcPr>
            <w:tcW w:w="2407" w:type="dxa"/>
          </w:tcPr>
          <w:p w:rsidR="00265C35" w:rsidRPr="00265C35" w:rsidRDefault="00265C35" w:rsidP="00265C35">
            <w:pPr>
              <w:pStyle w:val="Tabelltext"/>
            </w:pPr>
            <w:r w:rsidRPr="00265C35">
              <w:t>2 604</w:t>
            </w:r>
          </w:p>
        </w:tc>
      </w:tr>
      <w:tr w:rsidR="00265C35" w:rsidRPr="00265C35" w:rsidTr="00265C35">
        <w:tc>
          <w:tcPr>
            <w:tcW w:w="2407" w:type="dxa"/>
          </w:tcPr>
          <w:p w:rsidR="00265C35" w:rsidRPr="00265C35" w:rsidRDefault="00265C35" w:rsidP="00265C35">
            <w:pPr>
              <w:pStyle w:val="Tabelltext"/>
            </w:pPr>
            <w:r w:rsidRPr="00265C35">
              <w:t>80-</w:t>
            </w:r>
          </w:p>
        </w:tc>
        <w:tc>
          <w:tcPr>
            <w:tcW w:w="2407" w:type="dxa"/>
          </w:tcPr>
          <w:p w:rsidR="00265C35" w:rsidRPr="00265C35" w:rsidRDefault="00265C35" w:rsidP="00265C35">
            <w:pPr>
              <w:pStyle w:val="Tabelltext"/>
            </w:pPr>
            <w:r w:rsidRPr="00265C35">
              <w:t xml:space="preserve">2 543 </w:t>
            </w:r>
          </w:p>
        </w:tc>
        <w:tc>
          <w:tcPr>
            <w:tcW w:w="2407" w:type="dxa"/>
          </w:tcPr>
          <w:p w:rsidR="00265C35" w:rsidRPr="00265C35" w:rsidRDefault="00265C35" w:rsidP="00265C35">
            <w:pPr>
              <w:pStyle w:val="Tabelltext"/>
            </w:pPr>
            <w:r w:rsidRPr="00265C35">
              <w:t>1 093</w:t>
            </w:r>
          </w:p>
        </w:tc>
        <w:tc>
          <w:tcPr>
            <w:tcW w:w="2407" w:type="dxa"/>
          </w:tcPr>
          <w:p w:rsidR="00265C35" w:rsidRPr="00265C35" w:rsidRDefault="00265C35" w:rsidP="00265C35">
            <w:pPr>
              <w:pStyle w:val="Tabelltext"/>
            </w:pPr>
            <w:r w:rsidRPr="00265C35">
              <w:t>3 636</w:t>
            </w:r>
          </w:p>
        </w:tc>
      </w:tr>
      <w:tr w:rsidR="00265C35" w:rsidRPr="00265C35" w:rsidTr="00265C35">
        <w:tc>
          <w:tcPr>
            <w:tcW w:w="2407" w:type="dxa"/>
          </w:tcPr>
          <w:p w:rsidR="00265C35" w:rsidRPr="00265C35" w:rsidRDefault="00265C35" w:rsidP="00265C35">
            <w:pPr>
              <w:pStyle w:val="Tabelltext"/>
              <w:rPr>
                <w:b/>
              </w:rPr>
            </w:pPr>
            <w:r w:rsidRPr="00265C35">
              <w:rPr>
                <w:b/>
              </w:rPr>
              <w:t>Totalt</w:t>
            </w:r>
          </w:p>
        </w:tc>
        <w:tc>
          <w:tcPr>
            <w:tcW w:w="2407" w:type="dxa"/>
          </w:tcPr>
          <w:p w:rsidR="00265C35" w:rsidRPr="00265C35" w:rsidRDefault="00265C35" w:rsidP="00265C35">
            <w:pPr>
              <w:pStyle w:val="Tabelltext"/>
              <w:rPr>
                <w:b/>
              </w:rPr>
            </w:pPr>
            <w:r w:rsidRPr="00265C35">
              <w:rPr>
                <w:b/>
              </w:rPr>
              <w:t>4 974</w:t>
            </w:r>
          </w:p>
        </w:tc>
        <w:tc>
          <w:tcPr>
            <w:tcW w:w="2407" w:type="dxa"/>
          </w:tcPr>
          <w:p w:rsidR="00265C35" w:rsidRPr="00265C35" w:rsidRDefault="00265C35" w:rsidP="00265C35">
            <w:pPr>
              <w:pStyle w:val="Tabelltext"/>
              <w:rPr>
                <w:b/>
              </w:rPr>
            </w:pPr>
            <w:r w:rsidRPr="00265C35">
              <w:rPr>
                <w:b/>
              </w:rPr>
              <w:t>2 862</w:t>
            </w:r>
          </w:p>
        </w:tc>
        <w:tc>
          <w:tcPr>
            <w:tcW w:w="2407" w:type="dxa"/>
          </w:tcPr>
          <w:p w:rsidR="00265C35" w:rsidRPr="00265C35" w:rsidRDefault="00265C35" w:rsidP="00265C35">
            <w:pPr>
              <w:pStyle w:val="Tabelltext"/>
              <w:rPr>
                <w:b/>
              </w:rPr>
            </w:pPr>
            <w:r w:rsidRPr="00265C35">
              <w:rPr>
                <w:b/>
              </w:rPr>
              <w:t>7 836</w:t>
            </w:r>
          </w:p>
        </w:tc>
      </w:tr>
    </w:tbl>
    <w:p w:rsidR="00525624" w:rsidRDefault="007A57F8" w:rsidP="00265C35">
      <w:pPr>
        <w:spacing w:after="0" w:line="240" w:lineRule="auto"/>
        <w:rPr>
          <w:lang w:eastAsia="sv-SE"/>
        </w:rPr>
      </w:pPr>
      <w:r>
        <w:rPr>
          <w:lang w:eastAsia="sv-SE"/>
        </w:rPr>
        <w:br/>
      </w:r>
      <w:r w:rsidR="00840B7D">
        <w:rPr>
          <w:lang w:eastAsia="sv-SE"/>
        </w:rPr>
        <w:t>52</w:t>
      </w:r>
      <w:r w:rsidR="002F096A">
        <w:rPr>
          <w:lang w:eastAsia="sv-SE"/>
        </w:rPr>
        <w:t xml:space="preserve"> </w:t>
      </w:r>
      <w:r w:rsidR="00840B7D">
        <w:rPr>
          <w:lang w:eastAsia="sv-SE"/>
        </w:rPr>
        <w:t>980 förskrivningar har g</w:t>
      </w:r>
      <w:r>
        <w:rPr>
          <w:lang w:eastAsia="sv-SE"/>
        </w:rPr>
        <w:t>enomförts</w:t>
      </w:r>
      <w:r w:rsidR="00840B7D">
        <w:rPr>
          <w:lang w:eastAsia="sv-SE"/>
        </w:rPr>
        <w:t xml:space="preserve"> för 7</w:t>
      </w:r>
      <w:r w:rsidR="002F096A">
        <w:rPr>
          <w:lang w:eastAsia="sv-SE"/>
        </w:rPr>
        <w:t xml:space="preserve"> </w:t>
      </w:r>
      <w:r w:rsidR="00840B7D">
        <w:rPr>
          <w:lang w:eastAsia="sv-SE"/>
        </w:rPr>
        <w:t>836</w:t>
      </w:r>
      <w:r w:rsidR="00525624">
        <w:rPr>
          <w:rStyle w:val="Fotnotsreferens"/>
          <w:lang w:eastAsia="sv-SE"/>
        </w:rPr>
        <w:footnoteReference w:id="2"/>
      </w:r>
      <w:r w:rsidR="00840B7D">
        <w:rPr>
          <w:lang w:eastAsia="sv-SE"/>
        </w:rPr>
        <w:t xml:space="preserve"> personer</w:t>
      </w:r>
      <w:r w:rsidR="005E430B">
        <w:rPr>
          <w:lang w:eastAsia="sv-SE"/>
        </w:rPr>
        <w:t>,</w:t>
      </w:r>
      <w:r w:rsidR="00840B7D">
        <w:rPr>
          <w:lang w:eastAsia="sv-SE"/>
        </w:rPr>
        <w:t xml:space="preserve"> dessutom har </w:t>
      </w:r>
      <w:r w:rsidR="005701D8" w:rsidRPr="005701D8">
        <w:rPr>
          <w:lang w:eastAsia="sv-SE"/>
        </w:rPr>
        <w:t>4 755 beställningar gjorts till icke angiven person</w:t>
      </w:r>
      <w:r w:rsidR="005E430B">
        <w:rPr>
          <w:lang w:eastAsia="sv-SE"/>
        </w:rPr>
        <w:t>, totalt 57</w:t>
      </w:r>
      <w:r w:rsidR="002F096A">
        <w:rPr>
          <w:lang w:eastAsia="sv-SE"/>
        </w:rPr>
        <w:t xml:space="preserve"> </w:t>
      </w:r>
      <w:r w:rsidR="005E430B">
        <w:rPr>
          <w:lang w:eastAsia="sv-SE"/>
        </w:rPr>
        <w:t>735</w:t>
      </w:r>
      <w:r w:rsidR="005701D8" w:rsidRPr="005701D8">
        <w:rPr>
          <w:lang w:eastAsia="sv-SE"/>
        </w:rPr>
        <w:t xml:space="preserve">. </w:t>
      </w:r>
      <w:r w:rsidR="005E430B">
        <w:rPr>
          <w:lang w:eastAsia="sv-SE"/>
        </w:rPr>
        <w:t xml:space="preserve">Förskrivningarna har minskat </w:t>
      </w:r>
      <w:r w:rsidR="00A71043">
        <w:rPr>
          <w:lang w:eastAsia="sv-SE"/>
        </w:rPr>
        <w:t>5</w:t>
      </w:r>
      <w:r w:rsidR="00525624">
        <w:rPr>
          <w:lang w:eastAsia="sv-SE"/>
        </w:rPr>
        <w:t xml:space="preserve"> </w:t>
      </w:r>
      <w:r w:rsidR="00A71043">
        <w:rPr>
          <w:lang w:eastAsia="sv-SE"/>
        </w:rPr>
        <w:t xml:space="preserve">% </w:t>
      </w:r>
      <w:r w:rsidR="005E430B">
        <w:rPr>
          <w:lang w:eastAsia="sv-SE"/>
        </w:rPr>
        <w:t>och istället har beställningarna ökat</w:t>
      </w:r>
      <w:r w:rsidR="00A71043">
        <w:rPr>
          <w:lang w:eastAsia="sv-SE"/>
        </w:rPr>
        <w:t xml:space="preserve"> 20 % jmf med 2016</w:t>
      </w:r>
      <w:r w:rsidR="005E430B">
        <w:rPr>
          <w:lang w:eastAsia="sv-SE"/>
        </w:rPr>
        <w:t xml:space="preserve">. </w:t>
      </w:r>
      <w:r w:rsidR="00A71043">
        <w:rPr>
          <w:lang w:eastAsia="sv-SE"/>
        </w:rPr>
        <w:t>F</w:t>
      </w:r>
      <w:r w:rsidR="005E430B">
        <w:rPr>
          <w:lang w:eastAsia="sv-SE"/>
        </w:rPr>
        <w:t xml:space="preserve">örskrivningar av allt-i-ett inkontinensskydd och engångsunderlägg </w:t>
      </w:r>
      <w:r>
        <w:rPr>
          <w:lang w:eastAsia="sv-SE"/>
        </w:rPr>
        <w:t xml:space="preserve">har </w:t>
      </w:r>
      <w:r w:rsidR="005E430B">
        <w:rPr>
          <w:lang w:eastAsia="sv-SE"/>
        </w:rPr>
        <w:t>öka</w:t>
      </w:r>
      <w:r>
        <w:rPr>
          <w:lang w:eastAsia="sv-SE"/>
        </w:rPr>
        <w:t>t</w:t>
      </w:r>
      <w:r w:rsidR="00525624">
        <w:rPr>
          <w:lang w:eastAsia="sv-SE"/>
        </w:rPr>
        <w:t xml:space="preserve">. </w:t>
      </w:r>
    </w:p>
    <w:p w:rsidR="00525624" w:rsidRDefault="00525624" w:rsidP="00265C35">
      <w:pPr>
        <w:spacing w:after="0" w:line="240" w:lineRule="auto"/>
        <w:rPr>
          <w:lang w:eastAsia="sv-SE"/>
        </w:rPr>
      </w:pPr>
    </w:p>
    <w:p w:rsidR="00645F5C" w:rsidRPr="00265C35" w:rsidRDefault="00525624" w:rsidP="00265C35">
      <w:pPr>
        <w:spacing w:after="0" w:line="240" w:lineRule="auto"/>
        <w:rPr>
          <w:color w:val="FF0000"/>
        </w:rPr>
      </w:pPr>
      <w:r>
        <w:rPr>
          <w:lang w:eastAsia="sv-SE"/>
        </w:rPr>
        <w:t>Sammantaget tolkas den minskade personförskrivningen, de ökade beställningar till icke- angiven person och ökningen av förskrivningar av allt-i ett inkontinensskydd och engångsunderlägg</w:t>
      </w:r>
      <w:r w:rsidR="00A71043">
        <w:rPr>
          <w:lang w:eastAsia="sv-SE"/>
        </w:rPr>
        <w:t xml:space="preserve"> </w:t>
      </w:r>
      <w:r>
        <w:rPr>
          <w:lang w:eastAsia="sv-SE"/>
        </w:rPr>
        <w:t>vara orsakade av</w:t>
      </w:r>
      <w:r w:rsidR="005E430B">
        <w:rPr>
          <w:lang w:eastAsia="sv-SE"/>
        </w:rPr>
        <w:t xml:space="preserve"> brister i kompetens</w:t>
      </w:r>
      <w:r w:rsidR="00A71043">
        <w:rPr>
          <w:lang w:eastAsia="sv-SE"/>
        </w:rPr>
        <w:t>en</w:t>
      </w:r>
      <w:r w:rsidR="005E430B">
        <w:rPr>
          <w:lang w:eastAsia="sv-SE"/>
        </w:rPr>
        <w:t xml:space="preserve"> kring vården av patienter som lider av blåsdysfunktion/inkontinen</w:t>
      </w:r>
      <w:r w:rsidR="005E430B" w:rsidRPr="00265C35">
        <w:rPr>
          <w:lang w:eastAsia="sv-SE"/>
        </w:rPr>
        <w:t>s.</w:t>
      </w:r>
    </w:p>
    <w:p w:rsidR="007A57F8" w:rsidRDefault="007A57F8" w:rsidP="007A57F8">
      <w:pPr>
        <w:pStyle w:val="Brdtext"/>
        <w:spacing w:after="0" w:line="276" w:lineRule="auto"/>
        <w:rPr>
          <w:lang w:eastAsia="sv-SE"/>
        </w:rPr>
      </w:pPr>
    </w:p>
    <w:p w:rsidR="00B820CB" w:rsidRDefault="00B820CB" w:rsidP="000F5016">
      <w:pPr>
        <w:pStyle w:val="Brdtext"/>
        <w:rPr>
          <w:b/>
        </w:rPr>
      </w:pPr>
    </w:p>
    <w:p w:rsidR="000F5016" w:rsidRPr="00B52E27" w:rsidRDefault="000F5016" w:rsidP="000F5016">
      <w:pPr>
        <w:pStyle w:val="Brdtext"/>
        <w:rPr>
          <w:highlight w:val="green"/>
        </w:rPr>
      </w:pPr>
      <w:r w:rsidRPr="000F5016">
        <w:rPr>
          <w:b/>
        </w:rPr>
        <w:t>Redovisning av beslut gällande hjälpmedel utanför sortiment och regelverk</w:t>
      </w:r>
      <w:r w:rsidR="003D15C8">
        <w:rPr>
          <w:b/>
        </w:rPr>
        <w:t>, 2017</w:t>
      </w:r>
      <w:r w:rsidRPr="000F5016">
        <w:rPr>
          <w:b/>
          <w:i/>
          <w:color w:val="FF0000"/>
        </w:rPr>
        <w:br/>
      </w:r>
    </w:p>
    <w:tbl>
      <w:tblPr>
        <w:tblpPr w:leftFromText="141" w:rightFromText="141" w:vertAnchor="text" w:tblpX="98" w:tblpY="1"/>
        <w:tblOverlap w:val="never"/>
        <w:tblW w:w="9757" w:type="dxa"/>
        <w:tblLook w:val="04A0" w:firstRow="1" w:lastRow="0" w:firstColumn="1" w:lastColumn="0" w:noHBand="0" w:noVBand="1"/>
      </w:tblPr>
      <w:tblGrid>
        <w:gridCol w:w="5453"/>
        <w:gridCol w:w="4304"/>
      </w:tblGrid>
      <w:tr w:rsidR="000F5016" w:rsidRPr="001E06E7" w:rsidTr="003714E6">
        <w:trPr>
          <w:trHeight w:val="276"/>
        </w:trPr>
        <w:tc>
          <w:tcPr>
            <w:tcW w:w="5453" w:type="dxa"/>
            <w:shd w:val="clear" w:color="auto" w:fill="FFFFFF" w:themeFill="background1"/>
          </w:tcPr>
          <w:p w:rsidR="000F5016" w:rsidRPr="000F5016" w:rsidRDefault="000F5016" w:rsidP="003D15C8">
            <w:pPr>
              <w:tabs>
                <w:tab w:val="left" w:pos="1850"/>
              </w:tabs>
              <w:spacing w:after="0"/>
              <w:rPr>
                <w:b/>
                <w:bCs/>
              </w:rPr>
            </w:pPr>
            <w:r w:rsidRPr="000F5016">
              <w:rPr>
                <w:b/>
                <w:bCs/>
              </w:rPr>
              <w:t xml:space="preserve">Antal beviljade beslut utanför sortiment och regelverk </w:t>
            </w:r>
          </w:p>
        </w:tc>
        <w:tc>
          <w:tcPr>
            <w:tcW w:w="4304" w:type="dxa"/>
            <w:shd w:val="clear" w:color="auto" w:fill="FFFFFF" w:themeFill="background1"/>
          </w:tcPr>
          <w:p w:rsidR="000F5016" w:rsidRPr="000F5016" w:rsidRDefault="000F5016" w:rsidP="003D15C8">
            <w:pPr>
              <w:spacing w:after="0"/>
              <w:rPr>
                <w:b/>
                <w:bCs/>
              </w:rPr>
            </w:pPr>
            <w:r w:rsidRPr="000F5016">
              <w:rPr>
                <w:b/>
                <w:bCs/>
              </w:rPr>
              <w:t xml:space="preserve">Kostnad kr </w:t>
            </w:r>
            <w:r w:rsidR="00A4605E">
              <w:rPr>
                <w:b/>
                <w:bCs/>
              </w:rPr>
              <w:t xml:space="preserve">         </w:t>
            </w:r>
          </w:p>
        </w:tc>
      </w:tr>
      <w:tr w:rsidR="00A4605E" w:rsidRPr="001E06E7" w:rsidTr="003714E6">
        <w:trPr>
          <w:trHeight w:val="3514"/>
        </w:trPr>
        <w:tc>
          <w:tcPr>
            <w:tcW w:w="5453" w:type="dxa"/>
            <w:shd w:val="clear" w:color="auto" w:fill="FFFFFF" w:themeFill="background1"/>
          </w:tcPr>
          <w:p w:rsidR="00A4605E" w:rsidRPr="003D15C8" w:rsidRDefault="00A4605E" w:rsidP="008A15F9">
            <w:pPr>
              <w:spacing w:after="0"/>
              <w:rPr>
                <w:bCs/>
                <w:sz w:val="20"/>
                <w:szCs w:val="20"/>
                <w:lang w:val="en-US"/>
              </w:rPr>
            </w:pPr>
            <w:r w:rsidRPr="003D15C8">
              <w:rPr>
                <w:bCs/>
                <w:sz w:val="20"/>
                <w:szCs w:val="20"/>
                <w:lang w:val="en-US"/>
              </w:rPr>
              <w:t>Hostmaskin Cough assist</w:t>
            </w:r>
          </w:p>
          <w:p w:rsidR="00A4605E" w:rsidRPr="003D15C8" w:rsidRDefault="00A4605E" w:rsidP="008A15F9">
            <w:pPr>
              <w:spacing w:after="0"/>
              <w:rPr>
                <w:bCs/>
                <w:sz w:val="20"/>
                <w:szCs w:val="20"/>
                <w:lang w:val="en-US"/>
              </w:rPr>
            </w:pPr>
            <w:r w:rsidRPr="003D15C8">
              <w:rPr>
                <w:bCs/>
                <w:sz w:val="20"/>
                <w:szCs w:val="20"/>
                <w:lang w:val="en-US"/>
              </w:rPr>
              <w:t>Drivaggregat E-drive med joystick till manuell rullstol, 5 st</w:t>
            </w:r>
          </w:p>
          <w:p w:rsidR="00A4605E" w:rsidRPr="003D15C8" w:rsidRDefault="00A4605E" w:rsidP="008A15F9">
            <w:pPr>
              <w:spacing w:after="0"/>
              <w:rPr>
                <w:bCs/>
                <w:sz w:val="20"/>
                <w:szCs w:val="20"/>
              </w:rPr>
            </w:pPr>
            <w:r w:rsidRPr="003D15C8">
              <w:rPr>
                <w:bCs/>
                <w:sz w:val="20"/>
                <w:szCs w:val="20"/>
              </w:rPr>
              <w:t>Drivaggregat Smartdrive</w:t>
            </w:r>
          </w:p>
          <w:p w:rsidR="00A4605E" w:rsidRPr="003D15C8" w:rsidRDefault="00A4605E" w:rsidP="008A15F9">
            <w:pPr>
              <w:spacing w:after="0"/>
              <w:rPr>
                <w:bCs/>
                <w:sz w:val="20"/>
                <w:szCs w:val="20"/>
              </w:rPr>
            </w:pPr>
            <w:r w:rsidRPr="003D15C8">
              <w:rPr>
                <w:bCs/>
                <w:sz w:val="20"/>
                <w:szCs w:val="20"/>
              </w:rPr>
              <w:t xml:space="preserve">Förflyttningshjälpmedel Sara Stedy, 2 st </w:t>
            </w:r>
          </w:p>
          <w:p w:rsidR="00A4605E" w:rsidRPr="003D15C8" w:rsidRDefault="00A4605E" w:rsidP="008A15F9">
            <w:pPr>
              <w:spacing w:after="0"/>
              <w:rPr>
                <w:bCs/>
                <w:sz w:val="20"/>
                <w:szCs w:val="20"/>
              </w:rPr>
            </w:pPr>
            <w:r w:rsidRPr="003D15C8">
              <w:rPr>
                <w:bCs/>
                <w:sz w:val="20"/>
                <w:szCs w:val="20"/>
              </w:rPr>
              <w:t xml:space="preserve">PODD, kommunikationsbok och programvara </w:t>
            </w:r>
          </w:p>
          <w:p w:rsidR="00A4605E" w:rsidRPr="003D15C8" w:rsidRDefault="00A4605E" w:rsidP="008A15F9">
            <w:pPr>
              <w:spacing w:after="0"/>
              <w:rPr>
                <w:bCs/>
                <w:sz w:val="20"/>
                <w:szCs w:val="20"/>
              </w:rPr>
            </w:pPr>
            <w:r w:rsidRPr="003D15C8">
              <w:rPr>
                <w:bCs/>
                <w:sz w:val="20"/>
                <w:szCs w:val="20"/>
              </w:rPr>
              <w:t>Elrullstol nr 2, Real Mobil, 5 st</w:t>
            </w:r>
          </w:p>
          <w:p w:rsidR="00A4605E" w:rsidRPr="003D15C8" w:rsidRDefault="00A4605E" w:rsidP="008A15F9">
            <w:pPr>
              <w:spacing w:after="0"/>
              <w:rPr>
                <w:bCs/>
                <w:sz w:val="20"/>
                <w:szCs w:val="20"/>
              </w:rPr>
            </w:pPr>
            <w:r w:rsidRPr="003D15C8">
              <w:rPr>
                <w:bCs/>
                <w:sz w:val="20"/>
                <w:szCs w:val="20"/>
              </w:rPr>
              <w:t>Elrullstol nr 2, 3 st</w:t>
            </w:r>
          </w:p>
          <w:p w:rsidR="00A4605E" w:rsidRPr="003D15C8" w:rsidRDefault="00A4605E" w:rsidP="008A15F9">
            <w:pPr>
              <w:spacing w:after="0"/>
              <w:rPr>
                <w:bCs/>
                <w:sz w:val="20"/>
                <w:szCs w:val="20"/>
              </w:rPr>
            </w:pPr>
            <w:r w:rsidRPr="003D15C8">
              <w:rPr>
                <w:bCs/>
                <w:sz w:val="20"/>
                <w:szCs w:val="20"/>
              </w:rPr>
              <w:t>Manuell rullstol Krabat Scheriff</w:t>
            </w:r>
          </w:p>
          <w:p w:rsidR="00A4605E" w:rsidRPr="003D15C8" w:rsidRDefault="00A4605E" w:rsidP="008A15F9">
            <w:pPr>
              <w:spacing w:after="0"/>
              <w:rPr>
                <w:bCs/>
                <w:sz w:val="20"/>
                <w:szCs w:val="20"/>
              </w:rPr>
            </w:pPr>
            <w:r w:rsidRPr="003D15C8">
              <w:rPr>
                <w:bCs/>
                <w:sz w:val="20"/>
                <w:szCs w:val="20"/>
              </w:rPr>
              <w:t>Manuell rullstol Panthera X</w:t>
            </w:r>
          </w:p>
          <w:p w:rsidR="00A4605E" w:rsidRPr="003D15C8" w:rsidRDefault="00A4605E" w:rsidP="008A15F9">
            <w:pPr>
              <w:spacing w:after="0"/>
              <w:rPr>
                <w:bCs/>
                <w:sz w:val="20"/>
                <w:szCs w:val="20"/>
              </w:rPr>
            </w:pPr>
            <w:r w:rsidRPr="003D15C8">
              <w:rPr>
                <w:bCs/>
                <w:sz w:val="20"/>
                <w:szCs w:val="20"/>
              </w:rPr>
              <w:t>Manuell rullstol Kelvin</w:t>
            </w:r>
          </w:p>
          <w:p w:rsidR="00A4605E" w:rsidRPr="003D15C8" w:rsidRDefault="00A4605E" w:rsidP="008A15F9">
            <w:pPr>
              <w:spacing w:after="0"/>
              <w:rPr>
                <w:bCs/>
                <w:sz w:val="20"/>
                <w:szCs w:val="20"/>
              </w:rPr>
            </w:pPr>
            <w:r w:rsidRPr="003D15C8">
              <w:rPr>
                <w:bCs/>
                <w:sz w:val="20"/>
                <w:szCs w:val="20"/>
              </w:rPr>
              <w:t>Manuell rullstol nr 3</w:t>
            </w:r>
          </w:p>
          <w:p w:rsidR="00A4605E" w:rsidRPr="003D15C8" w:rsidRDefault="00A4605E" w:rsidP="008A15F9">
            <w:pPr>
              <w:spacing w:after="0"/>
              <w:rPr>
                <w:bCs/>
                <w:sz w:val="20"/>
                <w:szCs w:val="20"/>
              </w:rPr>
            </w:pPr>
            <w:r w:rsidRPr="003D15C8">
              <w:rPr>
                <w:bCs/>
                <w:sz w:val="20"/>
                <w:szCs w:val="20"/>
              </w:rPr>
              <w:t>Innowalk 2 st</w:t>
            </w:r>
          </w:p>
          <w:p w:rsidR="00A4605E" w:rsidRPr="003D15C8" w:rsidRDefault="00A4605E" w:rsidP="008A15F9">
            <w:pPr>
              <w:spacing w:after="0"/>
              <w:rPr>
                <w:bCs/>
                <w:sz w:val="20"/>
                <w:szCs w:val="20"/>
              </w:rPr>
            </w:pPr>
            <w:r w:rsidRPr="003D15C8">
              <w:rPr>
                <w:bCs/>
                <w:sz w:val="20"/>
                <w:szCs w:val="20"/>
              </w:rPr>
              <w:t>Växlingsbara rullstolshjul, Gearwheel, 2 st</w:t>
            </w:r>
          </w:p>
          <w:p w:rsidR="00A4605E" w:rsidRPr="003D15C8" w:rsidRDefault="00A4605E" w:rsidP="008A15F9">
            <w:pPr>
              <w:spacing w:after="0"/>
              <w:rPr>
                <w:bCs/>
                <w:sz w:val="20"/>
                <w:szCs w:val="20"/>
              </w:rPr>
            </w:pPr>
            <w:r w:rsidRPr="003D15C8">
              <w:rPr>
                <w:bCs/>
                <w:sz w:val="20"/>
                <w:szCs w:val="20"/>
              </w:rPr>
              <w:t>Rollator Veloped sport</w:t>
            </w:r>
          </w:p>
          <w:p w:rsidR="00A4605E" w:rsidRPr="003D15C8" w:rsidRDefault="00A4605E" w:rsidP="008A15F9">
            <w:pPr>
              <w:spacing w:after="0"/>
              <w:rPr>
                <w:bCs/>
                <w:sz w:val="20"/>
                <w:szCs w:val="20"/>
              </w:rPr>
            </w:pPr>
            <w:r w:rsidRPr="003D15C8">
              <w:rPr>
                <w:bCs/>
                <w:sz w:val="20"/>
                <w:szCs w:val="20"/>
              </w:rPr>
              <w:t>Lymfpulsator, Deep oscillation handenhet, 2 st</w:t>
            </w:r>
          </w:p>
          <w:p w:rsidR="00A4605E" w:rsidRPr="003D15C8" w:rsidRDefault="00A4605E" w:rsidP="008A15F9">
            <w:pPr>
              <w:spacing w:after="0"/>
              <w:rPr>
                <w:rFonts w:cs="Helv"/>
                <w:sz w:val="20"/>
                <w:szCs w:val="20"/>
                <w:lang w:eastAsia="sv-SE"/>
              </w:rPr>
            </w:pPr>
            <w:r w:rsidRPr="003D15C8">
              <w:rPr>
                <w:rFonts w:cs="Helv"/>
                <w:sz w:val="20"/>
                <w:szCs w:val="20"/>
                <w:lang w:eastAsia="sv-SE"/>
              </w:rPr>
              <w:t>Racerunner cykel, 2 st</w:t>
            </w:r>
          </w:p>
          <w:p w:rsidR="00A4605E" w:rsidRPr="003D15C8" w:rsidRDefault="00A4605E" w:rsidP="008A15F9">
            <w:pPr>
              <w:spacing w:after="0"/>
              <w:rPr>
                <w:rFonts w:cs="Helv"/>
                <w:sz w:val="20"/>
                <w:szCs w:val="20"/>
                <w:lang w:eastAsia="sv-SE"/>
              </w:rPr>
            </w:pPr>
            <w:r w:rsidRPr="003D15C8">
              <w:rPr>
                <w:rFonts w:cs="Helv"/>
                <w:sz w:val="20"/>
                <w:szCs w:val="20"/>
                <w:lang w:eastAsia="sv-SE"/>
              </w:rPr>
              <w:t>Kylväst + kylkeps, 3 ärenden</w:t>
            </w:r>
          </w:p>
          <w:p w:rsidR="00A4605E" w:rsidRPr="003D15C8" w:rsidRDefault="00A4605E" w:rsidP="008A15F9">
            <w:pPr>
              <w:spacing w:after="0"/>
              <w:rPr>
                <w:bCs/>
                <w:sz w:val="20"/>
                <w:szCs w:val="20"/>
              </w:rPr>
            </w:pPr>
            <w:r w:rsidRPr="003D15C8">
              <w:rPr>
                <w:rFonts w:cs="Helv"/>
                <w:sz w:val="20"/>
                <w:szCs w:val="20"/>
                <w:lang w:eastAsia="sv-SE"/>
              </w:rPr>
              <w:t>Servohandske, 2 st</w:t>
            </w:r>
          </w:p>
        </w:tc>
        <w:tc>
          <w:tcPr>
            <w:tcW w:w="4304" w:type="dxa"/>
            <w:shd w:val="clear" w:color="auto" w:fill="FFFFFF" w:themeFill="background1"/>
          </w:tcPr>
          <w:p w:rsidR="00A4605E" w:rsidRPr="003D15C8" w:rsidRDefault="00A4605E" w:rsidP="008A15F9">
            <w:pPr>
              <w:spacing w:after="0"/>
              <w:rPr>
                <w:sz w:val="20"/>
                <w:szCs w:val="20"/>
              </w:rPr>
            </w:pPr>
            <w:r w:rsidRPr="003D15C8">
              <w:rPr>
                <w:sz w:val="20"/>
                <w:szCs w:val="20"/>
              </w:rPr>
              <w:t>47 900</w:t>
            </w:r>
          </w:p>
          <w:p w:rsidR="00A4605E" w:rsidRPr="003D15C8" w:rsidRDefault="00A4605E" w:rsidP="008A15F9">
            <w:pPr>
              <w:spacing w:after="0"/>
              <w:rPr>
                <w:sz w:val="20"/>
                <w:szCs w:val="20"/>
              </w:rPr>
            </w:pPr>
            <w:r w:rsidRPr="003D15C8">
              <w:rPr>
                <w:sz w:val="20"/>
                <w:szCs w:val="20"/>
              </w:rPr>
              <w:t>36 624, 39 774, 35 024 x 3</w:t>
            </w:r>
          </w:p>
          <w:p w:rsidR="00A4605E" w:rsidRPr="003D15C8" w:rsidRDefault="00A4605E" w:rsidP="008A15F9">
            <w:pPr>
              <w:spacing w:after="0"/>
              <w:rPr>
                <w:sz w:val="20"/>
                <w:szCs w:val="20"/>
              </w:rPr>
            </w:pPr>
            <w:r w:rsidRPr="003D15C8">
              <w:rPr>
                <w:sz w:val="20"/>
                <w:szCs w:val="20"/>
              </w:rPr>
              <w:t>35 200</w:t>
            </w:r>
            <w:r w:rsidRPr="003D15C8">
              <w:rPr>
                <w:sz w:val="20"/>
                <w:szCs w:val="20"/>
              </w:rPr>
              <w:br/>
              <w:t xml:space="preserve">12 850 x 2 </w:t>
            </w:r>
          </w:p>
          <w:p w:rsidR="00A4605E" w:rsidRPr="003D15C8" w:rsidRDefault="00A4605E" w:rsidP="008A15F9">
            <w:pPr>
              <w:spacing w:after="0"/>
              <w:rPr>
                <w:sz w:val="20"/>
                <w:szCs w:val="20"/>
              </w:rPr>
            </w:pPr>
            <w:r w:rsidRPr="003D15C8">
              <w:rPr>
                <w:sz w:val="20"/>
                <w:szCs w:val="20"/>
              </w:rPr>
              <w:t>10 127</w:t>
            </w:r>
          </w:p>
          <w:p w:rsidR="00A4605E" w:rsidRPr="003D15C8" w:rsidRDefault="00A4605E" w:rsidP="008A15F9">
            <w:pPr>
              <w:spacing w:after="0"/>
              <w:rPr>
                <w:sz w:val="20"/>
                <w:szCs w:val="20"/>
              </w:rPr>
            </w:pPr>
            <w:r w:rsidRPr="003D15C8">
              <w:rPr>
                <w:sz w:val="20"/>
                <w:szCs w:val="20"/>
              </w:rPr>
              <w:t xml:space="preserve">44 145, 38 000, 41 500, 38 400, 38 473  </w:t>
            </w:r>
          </w:p>
          <w:p w:rsidR="00A4605E" w:rsidRPr="003D15C8" w:rsidRDefault="00A4605E" w:rsidP="008A15F9">
            <w:pPr>
              <w:spacing w:after="0"/>
              <w:rPr>
                <w:sz w:val="20"/>
                <w:szCs w:val="20"/>
              </w:rPr>
            </w:pPr>
            <w:r w:rsidRPr="003D15C8">
              <w:rPr>
                <w:sz w:val="20"/>
                <w:szCs w:val="20"/>
              </w:rPr>
              <w:t>48 000, 24 500, 46 350</w:t>
            </w:r>
          </w:p>
          <w:p w:rsidR="00A4605E" w:rsidRPr="003D15C8" w:rsidRDefault="00A4605E" w:rsidP="008A15F9">
            <w:pPr>
              <w:spacing w:after="0"/>
              <w:rPr>
                <w:sz w:val="20"/>
                <w:szCs w:val="20"/>
              </w:rPr>
            </w:pPr>
            <w:r w:rsidRPr="003D15C8">
              <w:rPr>
                <w:sz w:val="20"/>
                <w:szCs w:val="20"/>
              </w:rPr>
              <w:t>49 955</w:t>
            </w:r>
          </w:p>
          <w:p w:rsidR="00A4605E" w:rsidRPr="003D15C8" w:rsidRDefault="00A4605E" w:rsidP="008A15F9">
            <w:pPr>
              <w:spacing w:after="0"/>
              <w:rPr>
                <w:sz w:val="20"/>
                <w:szCs w:val="20"/>
              </w:rPr>
            </w:pPr>
            <w:r w:rsidRPr="003D15C8">
              <w:rPr>
                <w:sz w:val="20"/>
                <w:szCs w:val="20"/>
              </w:rPr>
              <w:t>37 000</w:t>
            </w:r>
          </w:p>
          <w:p w:rsidR="00A4605E" w:rsidRPr="003D15C8" w:rsidRDefault="00A4605E" w:rsidP="008A15F9">
            <w:pPr>
              <w:spacing w:after="0"/>
              <w:rPr>
                <w:sz w:val="20"/>
                <w:szCs w:val="20"/>
              </w:rPr>
            </w:pPr>
            <w:r w:rsidRPr="003D15C8">
              <w:rPr>
                <w:sz w:val="20"/>
                <w:szCs w:val="20"/>
              </w:rPr>
              <w:t>83 842</w:t>
            </w:r>
          </w:p>
          <w:p w:rsidR="00A4605E" w:rsidRPr="003D15C8" w:rsidRDefault="00A4605E" w:rsidP="008A15F9">
            <w:pPr>
              <w:spacing w:after="0"/>
              <w:rPr>
                <w:sz w:val="20"/>
                <w:szCs w:val="20"/>
              </w:rPr>
            </w:pPr>
            <w:r w:rsidRPr="003D15C8">
              <w:rPr>
                <w:sz w:val="20"/>
                <w:szCs w:val="20"/>
              </w:rPr>
              <w:t>5 500</w:t>
            </w:r>
          </w:p>
          <w:p w:rsidR="00A4605E" w:rsidRPr="003D15C8" w:rsidRDefault="00A4605E" w:rsidP="008A15F9">
            <w:pPr>
              <w:spacing w:after="0"/>
              <w:rPr>
                <w:sz w:val="20"/>
                <w:szCs w:val="20"/>
              </w:rPr>
            </w:pPr>
            <w:r w:rsidRPr="003D15C8">
              <w:rPr>
                <w:sz w:val="20"/>
                <w:szCs w:val="20"/>
              </w:rPr>
              <w:t>271 053, 217 005</w:t>
            </w:r>
          </w:p>
          <w:p w:rsidR="00A4605E" w:rsidRPr="003D15C8" w:rsidRDefault="00A4605E" w:rsidP="008A15F9">
            <w:pPr>
              <w:spacing w:after="0"/>
              <w:rPr>
                <w:sz w:val="20"/>
                <w:szCs w:val="20"/>
              </w:rPr>
            </w:pPr>
            <w:r w:rsidRPr="003D15C8">
              <w:rPr>
                <w:sz w:val="20"/>
                <w:szCs w:val="20"/>
              </w:rPr>
              <w:t>31 000 x 2</w:t>
            </w:r>
          </w:p>
          <w:p w:rsidR="00A4605E" w:rsidRPr="003D15C8" w:rsidRDefault="00A4605E" w:rsidP="008A15F9">
            <w:pPr>
              <w:spacing w:after="0"/>
              <w:rPr>
                <w:sz w:val="20"/>
                <w:szCs w:val="20"/>
              </w:rPr>
            </w:pPr>
            <w:r w:rsidRPr="003D15C8">
              <w:rPr>
                <w:sz w:val="20"/>
                <w:szCs w:val="20"/>
              </w:rPr>
              <w:t>11 465</w:t>
            </w:r>
          </w:p>
          <w:p w:rsidR="00A4605E" w:rsidRPr="003D15C8" w:rsidRDefault="00A4605E" w:rsidP="008A15F9">
            <w:pPr>
              <w:spacing w:after="0"/>
              <w:rPr>
                <w:sz w:val="20"/>
                <w:szCs w:val="20"/>
              </w:rPr>
            </w:pPr>
            <w:r w:rsidRPr="003D15C8">
              <w:rPr>
                <w:sz w:val="20"/>
                <w:szCs w:val="20"/>
              </w:rPr>
              <w:t>21 372 x 2</w:t>
            </w:r>
          </w:p>
          <w:p w:rsidR="00A4605E" w:rsidRPr="003D15C8" w:rsidRDefault="00A4605E" w:rsidP="008A15F9">
            <w:pPr>
              <w:spacing w:after="0"/>
              <w:rPr>
                <w:sz w:val="20"/>
                <w:szCs w:val="20"/>
              </w:rPr>
            </w:pPr>
            <w:r w:rsidRPr="003D15C8">
              <w:rPr>
                <w:sz w:val="20"/>
                <w:szCs w:val="20"/>
              </w:rPr>
              <w:t>17 070, 16 992</w:t>
            </w:r>
          </w:p>
          <w:p w:rsidR="00A4605E" w:rsidRPr="003D15C8" w:rsidRDefault="00A4605E" w:rsidP="008A15F9">
            <w:pPr>
              <w:spacing w:after="0"/>
              <w:rPr>
                <w:sz w:val="20"/>
                <w:szCs w:val="20"/>
              </w:rPr>
            </w:pPr>
            <w:r w:rsidRPr="003D15C8">
              <w:rPr>
                <w:sz w:val="20"/>
                <w:szCs w:val="20"/>
              </w:rPr>
              <w:t xml:space="preserve">3 200 + 650 + 625 + 375, 550 + 500, 500 </w:t>
            </w:r>
          </w:p>
          <w:p w:rsidR="00A4605E" w:rsidRPr="003D15C8" w:rsidRDefault="00A4605E" w:rsidP="008A15F9">
            <w:pPr>
              <w:spacing w:after="0"/>
              <w:rPr>
                <w:sz w:val="20"/>
                <w:szCs w:val="20"/>
              </w:rPr>
            </w:pPr>
            <w:r w:rsidRPr="003D15C8">
              <w:rPr>
                <w:sz w:val="20"/>
                <w:szCs w:val="20"/>
              </w:rPr>
              <w:t>Månadshyra 2 500 x 2</w:t>
            </w:r>
          </w:p>
        </w:tc>
      </w:tr>
    </w:tbl>
    <w:p w:rsidR="008D0210" w:rsidRPr="00A62156" w:rsidRDefault="008D0210" w:rsidP="00AA5943">
      <w:pPr>
        <w:spacing w:after="240"/>
        <w:rPr>
          <w:rFonts w:cs="Calibri"/>
        </w:rPr>
      </w:pPr>
      <w:r>
        <w:rPr>
          <w:rFonts w:cs="Calibri"/>
        </w:rPr>
        <w:br/>
      </w:r>
      <w:r w:rsidR="00A62156">
        <w:t xml:space="preserve">Antalet ärenden har ökat </w:t>
      </w:r>
      <w:r w:rsidR="00775C37">
        <w:t xml:space="preserve">med </w:t>
      </w:r>
      <w:r w:rsidR="00A62156">
        <w:t xml:space="preserve">24 % </w:t>
      </w:r>
      <w:r w:rsidR="00461402">
        <w:t xml:space="preserve">delvis </w:t>
      </w:r>
      <w:r w:rsidR="00A62156">
        <w:t>till följd av förändrat regelverk</w:t>
      </w:r>
      <w:r w:rsidR="00461402">
        <w:t xml:space="preserve">. </w:t>
      </w:r>
      <w:r>
        <w:rPr>
          <w:rFonts w:cs="Calibri"/>
        </w:rPr>
        <w:t>36</w:t>
      </w:r>
      <w:r w:rsidRPr="000F5016">
        <w:rPr>
          <w:rFonts w:cs="Calibri"/>
        </w:rPr>
        <w:t xml:space="preserve"> beslut har beviljats </w:t>
      </w:r>
      <w:r w:rsidR="00461402">
        <w:rPr>
          <w:rFonts w:cs="Calibri"/>
        </w:rPr>
        <w:t xml:space="preserve">varav 4 med delad kostnadsfinansiering </w:t>
      </w:r>
      <w:r w:rsidRPr="000F5016">
        <w:rPr>
          <w:rFonts w:cs="Calibri"/>
        </w:rPr>
        <w:t xml:space="preserve">och 4 har avslagits. </w:t>
      </w:r>
      <w:r w:rsidRPr="000F5016">
        <w:t xml:space="preserve">Inget ärende har beslutats </w:t>
      </w:r>
      <w:r w:rsidR="007A40DF">
        <w:t>med</w:t>
      </w:r>
      <w:r w:rsidRPr="000F5016">
        <w:t xml:space="preserve"> merkostnad. </w:t>
      </w:r>
    </w:p>
    <w:p w:rsidR="00AA5943" w:rsidRPr="008C217C" w:rsidRDefault="00520F1B" w:rsidP="003D15C8">
      <w:pPr>
        <w:spacing w:before="240" w:after="0"/>
        <w:rPr>
          <w:b/>
        </w:rPr>
      </w:pPr>
      <w:r w:rsidRPr="00265097">
        <w:rPr>
          <w:b/>
        </w:rPr>
        <w:t xml:space="preserve">Medicinska </w:t>
      </w:r>
      <w:r w:rsidRPr="008C217C">
        <w:rPr>
          <w:b/>
        </w:rPr>
        <w:t>behandlingshjälpmedel</w:t>
      </w:r>
    </w:p>
    <w:p w:rsidR="000324B1" w:rsidRDefault="008C217C" w:rsidP="003B1AF2">
      <w:pPr>
        <w:pStyle w:val="Brdtext"/>
        <w:spacing w:line="276" w:lineRule="auto"/>
      </w:pPr>
      <w:r>
        <w:t xml:space="preserve">För att överta </w:t>
      </w:r>
      <w:r w:rsidRPr="00CE2411">
        <w:t xml:space="preserve">medicinska behandlingshjälpmedel som </w:t>
      </w:r>
      <w:r>
        <w:t>patienter använder i sina hem</w:t>
      </w:r>
      <w:r>
        <w:rPr>
          <w:rStyle w:val="Fotnotsreferens"/>
        </w:rPr>
        <w:footnoteReference w:id="3"/>
      </w:r>
      <w:r>
        <w:t xml:space="preserve"> på ett tryggt och säkert sätt </w:t>
      </w:r>
      <w:r w:rsidR="00CA67F3">
        <w:t>pågår ett införandeprojekt</w:t>
      </w:r>
      <w:r>
        <w:t xml:space="preserve">. </w:t>
      </w:r>
      <w:r w:rsidR="0097286C">
        <w:t>A</w:t>
      </w:r>
      <w:r w:rsidR="00520F1B" w:rsidRPr="008C217C">
        <w:t xml:space="preserve">ktiviteter </w:t>
      </w:r>
      <w:r w:rsidR="00C60320">
        <w:t xml:space="preserve">har </w:t>
      </w:r>
      <w:r w:rsidR="00520F1B" w:rsidRPr="008C217C">
        <w:t xml:space="preserve">genomförts i samarbete med Västmanlands sjukhus. Lager har byggts upp </w:t>
      </w:r>
      <w:r w:rsidR="0097286C">
        <w:t>med</w:t>
      </w:r>
      <w:r w:rsidR="00520F1B" w:rsidRPr="008C217C">
        <w:t xml:space="preserve"> hjälpmedel och materia</w:t>
      </w:r>
      <w:r w:rsidR="0097286C">
        <w:t>l</w:t>
      </w:r>
      <w:r w:rsidR="00520F1B" w:rsidRPr="008C217C">
        <w:t xml:space="preserve">. Rutiner har tagits fram och </w:t>
      </w:r>
      <w:r>
        <w:t>b</w:t>
      </w:r>
      <w:r w:rsidR="00520F1B" w:rsidRPr="008C217C">
        <w:t xml:space="preserve">erörda patienter har informerats. </w:t>
      </w:r>
      <w:r w:rsidR="0097286C">
        <w:t>E</w:t>
      </w:r>
      <w:r w:rsidR="00C60320">
        <w:t xml:space="preserve">n </w:t>
      </w:r>
      <w:r>
        <w:t>modell</w:t>
      </w:r>
      <w:r w:rsidRPr="005535A2">
        <w:t xml:space="preserve"> för införande av </w:t>
      </w:r>
      <w:r>
        <w:t>produkter/tjänster inom området</w:t>
      </w:r>
      <w:r w:rsidRPr="005535A2">
        <w:t xml:space="preserve"> välfärdsteknik</w:t>
      </w:r>
      <w:r w:rsidR="00C60320">
        <w:t xml:space="preserve"> </w:t>
      </w:r>
      <w:r w:rsidR="0097286C">
        <w:t xml:space="preserve">har </w:t>
      </w:r>
      <w:r w:rsidR="00C60320">
        <w:t xml:space="preserve">utvecklats.  </w:t>
      </w:r>
    </w:p>
    <w:p w:rsidR="0097286C" w:rsidRDefault="007A57F8" w:rsidP="0097286C">
      <w:pPr>
        <w:spacing w:before="240" w:after="0"/>
        <w:rPr>
          <w:rFonts w:cs="Calibri"/>
        </w:rPr>
      </w:pPr>
      <w:r w:rsidRPr="000324B1">
        <w:rPr>
          <w:b/>
        </w:rPr>
        <w:t xml:space="preserve">Utbildning </w:t>
      </w:r>
      <w:r w:rsidR="0097286C">
        <w:rPr>
          <w:b/>
        </w:rPr>
        <w:t xml:space="preserve">och stöd till </w:t>
      </w:r>
      <w:r w:rsidRPr="000324B1">
        <w:rPr>
          <w:b/>
        </w:rPr>
        <w:t>f</w:t>
      </w:r>
      <w:r w:rsidR="00C60320" w:rsidRPr="000324B1">
        <w:rPr>
          <w:b/>
        </w:rPr>
        <w:t>örskrivar</w:t>
      </w:r>
      <w:r w:rsidRPr="000324B1">
        <w:rPr>
          <w:b/>
        </w:rPr>
        <w:t>e</w:t>
      </w:r>
      <w:r w:rsidR="00C60320" w:rsidRPr="000324B1">
        <w:rPr>
          <w:b/>
        </w:rPr>
        <w:br/>
      </w:r>
      <w:r w:rsidR="003E1F15" w:rsidRPr="000324B1">
        <w:t xml:space="preserve">38 förskrivarutbildningar har genomförts, både grundläggande och specifika utbildningar. 8 temadagar har genomförts i samarbete </w:t>
      </w:r>
      <w:r w:rsidR="00781D90">
        <w:t xml:space="preserve">med leverantörer. Förskrivarens </w:t>
      </w:r>
      <w:r w:rsidR="003E1F15" w:rsidRPr="000324B1">
        <w:t xml:space="preserve">dag har anordnats med </w:t>
      </w:r>
      <w:r w:rsidR="00CA67F3" w:rsidRPr="000324B1">
        <w:t xml:space="preserve">föreläsningar och </w:t>
      </w:r>
      <w:r w:rsidR="003E1F15" w:rsidRPr="000324B1">
        <w:t>visning av hjälpmedel</w:t>
      </w:r>
      <w:r w:rsidR="00265097" w:rsidRPr="000324B1">
        <w:t>.</w:t>
      </w:r>
      <w:r w:rsidR="0097286C">
        <w:t xml:space="preserve"> För att stödja förskrivare har utveckling av blanketter och arbete för att </w:t>
      </w:r>
      <w:r w:rsidR="0097286C" w:rsidRPr="004214C2">
        <w:rPr>
          <w:rFonts w:eastAsia="Arial"/>
          <w:kern w:val="1"/>
        </w:rPr>
        <w:t>införa tjänst för säker digital kommunikation</w:t>
      </w:r>
      <w:r w:rsidR="0097286C">
        <w:rPr>
          <w:rFonts w:eastAsia="Arial"/>
          <w:kern w:val="1"/>
        </w:rPr>
        <w:t xml:space="preserve"> genomförts. </w:t>
      </w:r>
      <w:r w:rsidR="0097286C">
        <w:rPr>
          <w:rFonts w:cs="Calibri"/>
        </w:rPr>
        <w:t>Efter ett omfattande arbete publiceras H</w:t>
      </w:r>
      <w:r w:rsidR="0097286C" w:rsidRPr="00520F1B">
        <w:rPr>
          <w:rFonts w:cs="Calibri"/>
        </w:rPr>
        <w:t xml:space="preserve">jälpmedelshandboken i webb-format </w:t>
      </w:r>
      <w:r w:rsidR="0097286C">
        <w:rPr>
          <w:rFonts w:cs="Calibri"/>
        </w:rPr>
        <w:t xml:space="preserve">i januari 2018. </w:t>
      </w:r>
      <w:r w:rsidR="0097286C">
        <w:t>E</w:t>
      </w:r>
      <w:r w:rsidR="0097286C" w:rsidRPr="000324B1">
        <w:t xml:space="preserve">n ny kompetensplats </w:t>
      </w:r>
      <w:r w:rsidR="0097286C">
        <w:t xml:space="preserve">har </w:t>
      </w:r>
      <w:r w:rsidR="0097286C" w:rsidRPr="000324B1">
        <w:t>tagits i bruk och Lotus Notes har avvecklats.</w:t>
      </w:r>
    </w:p>
    <w:p w:rsidR="00265097" w:rsidRDefault="00265097" w:rsidP="00265097">
      <w:pPr>
        <w:pStyle w:val="Brdtext"/>
        <w:spacing w:after="0" w:line="276" w:lineRule="auto"/>
      </w:pPr>
      <w:r>
        <w:rPr>
          <w:b/>
        </w:rPr>
        <w:lastRenderedPageBreak/>
        <w:t xml:space="preserve">Övrig </w:t>
      </w:r>
      <w:r w:rsidR="007A57F8">
        <w:rPr>
          <w:b/>
        </w:rPr>
        <w:t>p</w:t>
      </w:r>
      <w:r w:rsidRPr="008C217C">
        <w:rPr>
          <w:b/>
        </w:rPr>
        <w:t>rocessutveckling</w:t>
      </w:r>
      <w:r w:rsidRPr="008C217C">
        <w:rPr>
          <w:b/>
        </w:rPr>
        <w:br/>
      </w:r>
      <w:r w:rsidR="000C1B79">
        <w:t xml:space="preserve">En alternativ </w:t>
      </w:r>
      <w:r>
        <w:t>m</w:t>
      </w:r>
      <w:r w:rsidRPr="003E1F15">
        <w:t>ätmetod för telefontillgänglighet har undersökts men har</w:t>
      </w:r>
      <w:r w:rsidR="00CA67F3">
        <w:t xml:space="preserve"> inte</w:t>
      </w:r>
      <w:r w:rsidRPr="003E1F15">
        <w:t xml:space="preserve"> varit möjlig att </w:t>
      </w:r>
      <w:r w:rsidR="00CA67F3">
        <w:t>in</w:t>
      </w:r>
      <w:r w:rsidRPr="003E1F15">
        <w:t>föra.</w:t>
      </w:r>
      <w:r w:rsidRPr="00520F1B">
        <w:t xml:space="preserve"> </w:t>
      </w:r>
    </w:p>
    <w:p w:rsidR="00265097" w:rsidRDefault="00265097" w:rsidP="00265097">
      <w:pPr>
        <w:pStyle w:val="Brdtext"/>
        <w:spacing w:after="0" w:line="276" w:lineRule="auto"/>
      </w:pPr>
      <w:r w:rsidRPr="00795D2D">
        <w:t xml:space="preserve">Sjuksköterskor som förskriver hjälpmedel har </w:t>
      </w:r>
      <w:r>
        <w:t xml:space="preserve">fått </w:t>
      </w:r>
      <w:r w:rsidRPr="00795D2D">
        <w:t>tillgång till webSesam</w:t>
      </w:r>
      <w:r>
        <w:t xml:space="preserve"> med personliga konton.</w:t>
      </w:r>
    </w:p>
    <w:p w:rsidR="00265097" w:rsidRPr="00E25C5F" w:rsidRDefault="00265097" w:rsidP="0043105E">
      <w:pPr>
        <w:spacing w:after="0"/>
        <w:rPr>
          <w:b/>
          <w:color w:val="FF0000"/>
        </w:rPr>
      </w:pPr>
      <w:r w:rsidRPr="00E25C5F">
        <w:t xml:space="preserve">Användningen </w:t>
      </w:r>
      <w:r>
        <w:t>av 1177 Vårdguidens e-tjänster h</w:t>
      </w:r>
      <w:r w:rsidRPr="00E25C5F">
        <w:t xml:space="preserve">ar ökat med 7 procentenheter jämfört med 2016. </w:t>
      </w:r>
    </w:p>
    <w:p w:rsidR="000324B1" w:rsidRDefault="00265097" w:rsidP="0097286C">
      <w:pPr>
        <w:spacing w:after="0"/>
        <w:rPr>
          <w:rFonts w:cs="Calibri"/>
        </w:rPr>
      </w:pPr>
      <w:r>
        <w:t>Åtgärder har vidtagits</w:t>
      </w:r>
      <w:r w:rsidR="00781D90">
        <w:t xml:space="preserve"> för att öka användningen, bland annat</w:t>
      </w:r>
      <w:r>
        <w:t xml:space="preserve"> k</w:t>
      </w:r>
      <w:r w:rsidRPr="00E25C5F">
        <w:t>ompetensutveckling och information.</w:t>
      </w:r>
    </w:p>
    <w:tbl>
      <w:tblPr>
        <w:tblpPr w:leftFromText="142" w:rightFromText="142" w:topFromText="142" w:vertAnchor="page" w:horzAnchor="margin" w:tblpY="4726"/>
        <w:tblW w:w="0" w:type="auto"/>
        <w:tblBorders>
          <w:top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377"/>
        <w:gridCol w:w="1640"/>
        <w:gridCol w:w="1640"/>
        <w:gridCol w:w="1369"/>
      </w:tblGrid>
      <w:tr w:rsidR="00146245" w:rsidRPr="00C60320" w:rsidTr="00146245">
        <w:trPr>
          <w:trHeight w:val="252"/>
        </w:trPr>
        <w:tc>
          <w:tcPr>
            <w:tcW w:w="4377" w:type="dxa"/>
            <w:tcBorders>
              <w:top w:val="single" w:sz="4" w:space="0" w:color="auto"/>
            </w:tcBorders>
            <w:shd w:val="clear" w:color="auto" w:fill="B4C6E7" w:themeFill="accent5" w:themeFillTint="66"/>
            <w:noWrap/>
            <w:vAlign w:val="bottom"/>
            <w:hideMark/>
          </w:tcPr>
          <w:p w:rsidR="00146245" w:rsidRPr="00C60320" w:rsidRDefault="00146245" w:rsidP="00146245">
            <w:pPr>
              <w:spacing w:after="0"/>
              <w:rPr>
                <w:rFonts w:cs="Calibri"/>
                <w:b/>
                <w:bCs/>
                <w:sz w:val="20"/>
              </w:rPr>
            </w:pPr>
            <w:r w:rsidRPr="00C60320">
              <w:rPr>
                <w:rFonts w:cs="Calibri"/>
                <w:b/>
                <w:bCs/>
                <w:sz w:val="20"/>
              </w:rPr>
              <w:t xml:space="preserve">Volym uthyrda hjälpmedel </w:t>
            </w:r>
          </w:p>
        </w:tc>
        <w:tc>
          <w:tcPr>
            <w:tcW w:w="1640" w:type="dxa"/>
            <w:tcBorders>
              <w:top w:val="single" w:sz="4" w:space="0" w:color="auto"/>
            </w:tcBorders>
            <w:shd w:val="clear" w:color="auto" w:fill="B4C6E7" w:themeFill="accent5" w:themeFillTint="66"/>
            <w:vAlign w:val="bottom"/>
          </w:tcPr>
          <w:p w:rsidR="00146245" w:rsidRPr="00C60320" w:rsidRDefault="00146245" w:rsidP="00146245">
            <w:pPr>
              <w:spacing w:after="0" w:line="240" w:lineRule="auto"/>
              <w:jc w:val="center"/>
              <w:rPr>
                <w:rFonts w:cs="Calibri"/>
                <w:b/>
                <w:bCs/>
                <w:sz w:val="20"/>
              </w:rPr>
            </w:pPr>
            <w:r w:rsidRPr="00C60320">
              <w:rPr>
                <w:rFonts w:cs="Calibri"/>
                <w:b/>
                <w:bCs/>
                <w:sz w:val="20"/>
              </w:rPr>
              <w:t>Utfall 2016</w:t>
            </w:r>
          </w:p>
        </w:tc>
        <w:tc>
          <w:tcPr>
            <w:tcW w:w="1640" w:type="dxa"/>
            <w:tcBorders>
              <w:top w:val="single" w:sz="4" w:space="0" w:color="auto"/>
            </w:tcBorders>
            <w:shd w:val="clear" w:color="auto" w:fill="B4C6E7" w:themeFill="accent5" w:themeFillTint="66"/>
            <w:vAlign w:val="bottom"/>
            <w:hideMark/>
          </w:tcPr>
          <w:p w:rsidR="00146245" w:rsidRPr="00C60320" w:rsidRDefault="00146245" w:rsidP="00146245">
            <w:pPr>
              <w:spacing w:after="0" w:line="240" w:lineRule="auto"/>
              <w:jc w:val="center"/>
              <w:rPr>
                <w:rFonts w:cs="Calibri"/>
                <w:b/>
                <w:bCs/>
                <w:sz w:val="20"/>
              </w:rPr>
            </w:pPr>
            <w:r w:rsidRPr="00C60320">
              <w:rPr>
                <w:rFonts w:cs="Calibri"/>
                <w:b/>
                <w:bCs/>
                <w:sz w:val="20"/>
              </w:rPr>
              <w:t>Utfall 2017</w:t>
            </w:r>
          </w:p>
        </w:tc>
        <w:tc>
          <w:tcPr>
            <w:tcW w:w="1369" w:type="dxa"/>
            <w:tcBorders>
              <w:top w:val="single" w:sz="4" w:space="0" w:color="auto"/>
            </w:tcBorders>
            <w:shd w:val="clear" w:color="auto" w:fill="B4C6E7" w:themeFill="accent5" w:themeFillTint="66"/>
            <w:noWrap/>
            <w:vAlign w:val="bottom"/>
            <w:hideMark/>
          </w:tcPr>
          <w:p w:rsidR="00146245" w:rsidRPr="00C60320" w:rsidRDefault="00146245" w:rsidP="00146245">
            <w:pPr>
              <w:spacing w:after="0" w:line="240" w:lineRule="auto"/>
              <w:jc w:val="center"/>
              <w:rPr>
                <w:rFonts w:cs="Calibri"/>
                <w:b/>
                <w:bCs/>
                <w:sz w:val="20"/>
              </w:rPr>
            </w:pPr>
            <w:r w:rsidRPr="00C60320">
              <w:rPr>
                <w:rFonts w:cs="Calibri"/>
                <w:b/>
                <w:bCs/>
                <w:sz w:val="20"/>
              </w:rPr>
              <w:t>Förändring %</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rPr>
                <w:rFonts w:cs="Calibri"/>
                <w:sz w:val="20"/>
              </w:rPr>
            </w:pPr>
            <w:r w:rsidRPr="00C60320">
              <w:rPr>
                <w:rFonts w:cs="Calibri"/>
                <w:sz w:val="20"/>
              </w:rPr>
              <w:t>Volym individmärkta hjälpmedel</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51 612</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54 210</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5,0</w:t>
            </w:r>
          </w:p>
        </w:tc>
      </w:tr>
      <w:tr w:rsidR="00146245" w:rsidRPr="00C60320" w:rsidTr="00146245">
        <w:trPr>
          <w:trHeight w:val="287"/>
        </w:trPr>
        <w:tc>
          <w:tcPr>
            <w:tcW w:w="4377" w:type="dxa"/>
            <w:tcBorders>
              <w:bottom w:val="nil"/>
            </w:tcBorders>
            <w:shd w:val="clear" w:color="auto" w:fill="FFFFFF" w:themeFill="background1"/>
            <w:noWrap/>
            <w:vAlign w:val="bottom"/>
            <w:hideMark/>
          </w:tcPr>
          <w:p w:rsidR="00146245" w:rsidRPr="00C60320" w:rsidRDefault="00146245" w:rsidP="00146245">
            <w:pPr>
              <w:rPr>
                <w:rFonts w:cs="Calibri"/>
                <w:sz w:val="20"/>
              </w:rPr>
            </w:pPr>
            <w:r w:rsidRPr="00C60320">
              <w:rPr>
                <w:rFonts w:cs="Calibri"/>
                <w:sz w:val="20"/>
              </w:rPr>
              <w:t>Volym huvudhjälpmedel</w:t>
            </w:r>
          </w:p>
        </w:tc>
        <w:tc>
          <w:tcPr>
            <w:tcW w:w="1640" w:type="dxa"/>
            <w:tcBorders>
              <w:bottom w:val="nil"/>
            </w:tcBorders>
            <w:shd w:val="clear" w:color="auto" w:fill="FFFFFF" w:themeFill="background1"/>
          </w:tcPr>
          <w:p w:rsidR="00146245" w:rsidRPr="00C60320" w:rsidRDefault="00146245" w:rsidP="00146245">
            <w:pPr>
              <w:jc w:val="center"/>
              <w:rPr>
                <w:sz w:val="20"/>
                <w:szCs w:val="20"/>
              </w:rPr>
            </w:pPr>
            <w:r w:rsidRPr="00C60320">
              <w:rPr>
                <w:sz w:val="20"/>
                <w:szCs w:val="20"/>
              </w:rPr>
              <w:t>66 148</w:t>
            </w:r>
          </w:p>
        </w:tc>
        <w:tc>
          <w:tcPr>
            <w:tcW w:w="1640" w:type="dxa"/>
            <w:tcBorders>
              <w:bottom w:val="nil"/>
            </w:tcBorders>
            <w:shd w:val="clear" w:color="auto" w:fill="FFFFFF" w:themeFill="background1"/>
          </w:tcPr>
          <w:p w:rsidR="00146245" w:rsidRPr="00C60320" w:rsidRDefault="00146245" w:rsidP="00146245">
            <w:pPr>
              <w:jc w:val="center"/>
              <w:rPr>
                <w:sz w:val="20"/>
                <w:szCs w:val="20"/>
              </w:rPr>
            </w:pPr>
            <w:r w:rsidRPr="00C60320">
              <w:rPr>
                <w:sz w:val="20"/>
                <w:szCs w:val="20"/>
              </w:rPr>
              <w:t>68 970</w:t>
            </w:r>
          </w:p>
        </w:tc>
        <w:tc>
          <w:tcPr>
            <w:tcW w:w="1369" w:type="dxa"/>
            <w:tcBorders>
              <w:bottom w:val="nil"/>
            </w:tcBorders>
            <w:shd w:val="clear" w:color="auto" w:fill="FFFFFF" w:themeFill="background1"/>
            <w:noWrap/>
          </w:tcPr>
          <w:p w:rsidR="00146245" w:rsidRPr="00C60320" w:rsidRDefault="00146245" w:rsidP="00146245">
            <w:pPr>
              <w:jc w:val="center"/>
              <w:rPr>
                <w:sz w:val="20"/>
                <w:szCs w:val="20"/>
              </w:rPr>
            </w:pPr>
            <w:r w:rsidRPr="00C60320">
              <w:rPr>
                <w:sz w:val="20"/>
                <w:szCs w:val="20"/>
              </w:rPr>
              <w:t>4,3</w:t>
            </w:r>
          </w:p>
        </w:tc>
      </w:tr>
      <w:tr w:rsidR="00146245" w:rsidRPr="00C60320" w:rsidTr="00146245">
        <w:trPr>
          <w:trHeight w:val="252"/>
        </w:trPr>
        <w:tc>
          <w:tcPr>
            <w:tcW w:w="4377" w:type="dxa"/>
            <w:tcBorders>
              <w:top w:val="nil"/>
            </w:tcBorders>
            <w:shd w:val="clear" w:color="auto" w:fill="D9E2F3" w:themeFill="accent5" w:themeFillTint="33"/>
            <w:noWrap/>
            <w:vAlign w:val="bottom"/>
            <w:hideMark/>
          </w:tcPr>
          <w:p w:rsidR="00146245" w:rsidRPr="00C60320" w:rsidRDefault="00146245" w:rsidP="00146245">
            <w:pPr>
              <w:spacing w:after="0"/>
              <w:rPr>
                <w:rFonts w:cs="Calibri"/>
                <w:sz w:val="20"/>
              </w:rPr>
            </w:pPr>
            <w:r w:rsidRPr="00C60320">
              <w:rPr>
                <w:rFonts w:cs="Calibri"/>
                <w:sz w:val="20"/>
              </w:rPr>
              <w:t>-varav regionfinansierat (individmärkt)</w:t>
            </w:r>
          </w:p>
        </w:tc>
        <w:tc>
          <w:tcPr>
            <w:tcW w:w="1640" w:type="dxa"/>
            <w:tcBorders>
              <w:top w:val="nil"/>
            </w:tcBorders>
            <w:shd w:val="clear" w:color="auto" w:fill="D9E2F3" w:themeFill="accent5" w:themeFillTint="33"/>
            <w:vAlign w:val="bottom"/>
          </w:tcPr>
          <w:p w:rsidR="00146245" w:rsidRPr="00C60320" w:rsidRDefault="00146245" w:rsidP="00146245">
            <w:pPr>
              <w:spacing w:after="0"/>
              <w:jc w:val="center"/>
              <w:rPr>
                <w:sz w:val="20"/>
                <w:szCs w:val="20"/>
              </w:rPr>
            </w:pPr>
            <w:r w:rsidRPr="00C60320">
              <w:rPr>
                <w:sz w:val="20"/>
                <w:szCs w:val="20"/>
              </w:rPr>
              <w:t>42 754</w:t>
            </w:r>
          </w:p>
        </w:tc>
        <w:tc>
          <w:tcPr>
            <w:tcW w:w="1640" w:type="dxa"/>
            <w:tcBorders>
              <w:top w:val="nil"/>
            </w:tcBorders>
            <w:shd w:val="clear" w:color="auto" w:fill="D9E2F3" w:themeFill="accent5" w:themeFillTint="33"/>
            <w:vAlign w:val="bottom"/>
          </w:tcPr>
          <w:p w:rsidR="00146245" w:rsidRPr="00C60320" w:rsidRDefault="00146245" w:rsidP="00146245">
            <w:pPr>
              <w:spacing w:after="0"/>
              <w:jc w:val="center"/>
              <w:rPr>
                <w:sz w:val="20"/>
                <w:szCs w:val="20"/>
              </w:rPr>
            </w:pPr>
            <w:r w:rsidRPr="00C60320">
              <w:rPr>
                <w:sz w:val="20"/>
                <w:szCs w:val="20"/>
              </w:rPr>
              <w:t>44 619</w:t>
            </w:r>
          </w:p>
        </w:tc>
        <w:tc>
          <w:tcPr>
            <w:tcW w:w="1369" w:type="dxa"/>
            <w:tcBorders>
              <w:top w:val="nil"/>
            </w:tcBorders>
            <w:shd w:val="clear" w:color="auto" w:fill="D9E2F3" w:themeFill="accent5" w:themeFillTint="33"/>
            <w:noWrap/>
            <w:vAlign w:val="bottom"/>
          </w:tcPr>
          <w:p w:rsidR="00146245" w:rsidRPr="00C60320" w:rsidRDefault="00146245" w:rsidP="00146245">
            <w:pPr>
              <w:spacing w:after="0"/>
              <w:jc w:val="center"/>
              <w:rPr>
                <w:sz w:val="20"/>
                <w:szCs w:val="20"/>
              </w:rPr>
            </w:pPr>
            <w:r w:rsidRPr="00C60320">
              <w:rPr>
                <w:sz w:val="20"/>
                <w:szCs w:val="20"/>
              </w:rPr>
              <w:t>4,4</w:t>
            </w:r>
          </w:p>
        </w:tc>
      </w:tr>
      <w:tr w:rsidR="00146245" w:rsidRPr="00C60320" w:rsidTr="00146245">
        <w:trPr>
          <w:trHeight w:val="252"/>
        </w:trPr>
        <w:tc>
          <w:tcPr>
            <w:tcW w:w="4377" w:type="dxa"/>
            <w:shd w:val="clear" w:color="auto" w:fill="FFFFFF" w:themeFill="background1"/>
            <w:vAlign w:val="bottom"/>
            <w:hideMark/>
          </w:tcPr>
          <w:p w:rsidR="00146245" w:rsidRPr="00C60320" w:rsidRDefault="00146245" w:rsidP="00146245">
            <w:pPr>
              <w:spacing w:after="0"/>
              <w:ind w:left="142"/>
              <w:rPr>
                <w:rFonts w:cs="Calibri"/>
                <w:sz w:val="20"/>
              </w:rPr>
            </w:pPr>
            <w:r w:rsidRPr="00C60320">
              <w:rPr>
                <w:rFonts w:cs="Calibri"/>
                <w:sz w:val="20"/>
              </w:rPr>
              <w:t>Familjeläkarenheter (Vårdval Västmanland)</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27 654</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28 842</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4,3</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Vårdval Västmanland (Centralt konto)</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8 555</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8 732</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2,1</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Habiliteringscentrum</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5 961</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6 358</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6,7</w:t>
            </w:r>
          </w:p>
        </w:tc>
      </w:tr>
      <w:tr w:rsidR="00146245" w:rsidRPr="00C60320" w:rsidTr="00146245">
        <w:trPr>
          <w:trHeight w:val="239"/>
        </w:trPr>
        <w:tc>
          <w:tcPr>
            <w:tcW w:w="4377" w:type="dxa"/>
            <w:tcBorders>
              <w:bottom w:val="nil"/>
            </w:tcBorders>
            <w:shd w:val="clear" w:color="auto" w:fill="FFFFFF" w:themeFill="background1"/>
            <w:noWrap/>
            <w:vAlign w:val="bottom"/>
            <w:hideMark/>
          </w:tcPr>
          <w:p w:rsidR="00146245" w:rsidRPr="00C60320" w:rsidRDefault="00146245" w:rsidP="00146245">
            <w:pPr>
              <w:ind w:left="142"/>
              <w:rPr>
                <w:rFonts w:cs="Calibri"/>
                <w:sz w:val="20"/>
              </w:rPr>
            </w:pPr>
            <w:r w:rsidRPr="00C60320">
              <w:rPr>
                <w:rFonts w:cs="Calibri"/>
                <w:sz w:val="20"/>
              </w:rPr>
              <w:t>Övriga regionenheter</w:t>
            </w:r>
          </w:p>
        </w:tc>
        <w:tc>
          <w:tcPr>
            <w:tcW w:w="1640" w:type="dxa"/>
            <w:tcBorders>
              <w:bottom w:val="nil"/>
            </w:tcBorders>
            <w:shd w:val="clear" w:color="auto" w:fill="FFFFFF" w:themeFill="background1"/>
          </w:tcPr>
          <w:p w:rsidR="00146245" w:rsidRPr="00C60320" w:rsidRDefault="00146245" w:rsidP="00146245">
            <w:pPr>
              <w:jc w:val="center"/>
              <w:rPr>
                <w:sz w:val="20"/>
                <w:szCs w:val="20"/>
              </w:rPr>
            </w:pPr>
            <w:r w:rsidRPr="00C60320">
              <w:rPr>
                <w:sz w:val="20"/>
                <w:szCs w:val="20"/>
              </w:rPr>
              <w:t>584</w:t>
            </w:r>
          </w:p>
        </w:tc>
        <w:tc>
          <w:tcPr>
            <w:tcW w:w="1640" w:type="dxa"/>
            <w:tcBorders>
              <w:bottom w:val="nil"/>
            </w:tcBorders>
            <w:shd w:val="clear" w:color="auto" w:fill="FFFFFF" w:themeFill="background1"/>
          </w:tcPr>
          <w:p w:rsidR="00146245" w:rsidRPr="00C60320" w:rsidRDefault="00146245" w:rsidP="00146245">
            <w:pPr>
              <w:jc w:val="center"/>
              <w:rPr>
                <w:sz w:val="20"/>
                <w:szCs w:val="20"/>
              </w:rPr>
            </w:pPr>
            <w:r w:rsidRPr="00C60320">
              <w:rPr>
                <w:sz w:val="20"/>
                <w:szCs w:val="20"/>
              </w:rPr>
              <w:t>687</w:t>
            </w:r>
          </w:p>
        </w:tc>
        <w:tc>
          <w:tcPr>
            <w:tcW w:w="1369" w:type="dxa"/>
            <w:tcBorders>
              <w:bottom w:val="nil"/>
            </w:tcBorders>
            <w:shd w:val="clear" w:color="auto" w:fill="FFFFFF" w:themeFill="background1"/>
            <w:noWrap/>
          </w:tcPr>
          <w:p w:rsidR="00146245" w:rsidRPr="00C60320" w:rsidRDefault="00146245" w:rsidP="00146245">
            <w:pPr>
              <w:jc w:val="center"/>
              <w:rPr>
                <w:sz w:val="20"/>
                <w:szCs w:val="20"/>
              </w:rPr>
            </w:pPr>
            <w:r w:rsidRPr="00C60320">
              <w:rPr>
                <w:sz w:val="20"/>
                <w:szCs w:val="20"/>
              </w:rPr>
              <w:t>17,6</w:t>
            </w:r>
          </w:p>
        </w:tc>
      </w:tr>
      <w:tr w:rsidR="00146245" w:rsidRPr="00C60320" w:rsidTr="00146245">
        <w:trPr>
          <w:trHeight w:val="252"/>
        </w:trPr>
        <w:tc>
          <w:tcPr>
            <w:tcW w:w="4377" w:type="dxa"/>
            <w:tcBorders>
              <w:top w:val="nil"/>
            </w:tcBorders>
            <w:shd w:val="clear" w:color="auto" w:fill="D9E2F3" w:themeFill="accent5" w:themeFillTint="33"/>
            <w:noWrap/>
            <w:vAlign w:val="bottom"/>
            <w:hideMark/>
          </w:tcPr>
          <w:p w:rsidR="00146245" w:rsidRPr="00C60320" w:rsidRDefault="00146245" w:rsidP="00146245">
            <w:pPr>
              <w:spacing w:after="0"/>
              <w:rPr>
                <w:rFonts w:cs="Calibri"/>
                <w:sz w:val="20"/>
              </w:rPr>
            </w:pPr>
            <w:r w:rsidRPr="00C60320">
              <w:rPr>
                <w:rFonts w:cs="Calibri"/>
                <w:sz w:val="20"/>
              </w:rPr>
              <w:t>-varav kommunfinansierat (individmärkt)</w:t>
            </w:r>
          </w:p>
        </w:tc>
        <w:tc>
          <w:tcPr>
            <w:tcW w:w="1640" w:type="dxa"/>
            <w:tcBorders>
              <w:top w:val="nil"/>
            </w:tcBorders>
            <w:shd w:val="clear" w:color="auto" w:fill="D9E2F3" w:themeFill="accent5" w:themeFillTint="33"/>
          </w:tcPr>
          <w:p w:rsidR="00146245" w:rsidRPr="00C60320" w:rsidRDefault="00146245" w:rsidP="00146245">
            <w:pPr>
              <w:spacing w:after="0"/>
              <w:jc w:val="center"/>
              <w:rPr>
                <w:sz w:val="20"/>
                <w:szCs w:val="20"/>
              </w:rPr>
            </w:pPr>
            <w:r w:rsidRPr="00C60320">
              <w:rPr>
                <w:sz w:val="20"/>
                <w:szCs w:val="20"/>
              </w:rPr>
              <w:t>8 781</w:t>
            </w:r>
          </w:p>
        </w:tc>
        <w:tc>
          <w:tcPr>
            <w:tcW w:w="1640" w:type="dxa"/>
            <w:tcBorders>
              <w:top w:val="nil"/>
            </w:tcBorders>
            <w:shd w:val="clear" w:color="auto" w:fill="D9E2F3" w:themeFill="accent5" w:themeFillTint="33"/>
          </w:tcPr>
          <w:p w:rsidR="00146245" w:rsidRPr="00C60320" w:rsidRDefault="00146245" w:rsidP="00146245">
            <w:pPr>
              <w:spacing w:after="0"/>
              <w:jc w:val="center"/>
              <w:rPr>
                <w:sz w:val="20"/>
                <w:szCs w:val="20"/>
              </w:rPr>
            </w:pPr>
            <w:r w:rsidRPr="00C60320">
              <w:rPr>
                <w:sz w:val="20"/>
                <w:szCs w:val="20"/>
              </w:rPr>
              <w:t>9 508</w:t>
            </w:r>
          </w:p>
        </w:tc>
        <w:tc>
          <w:tcPr>
            <w:tcW w:w="1369" w:type="dxa"/>
            <w:tcBorders>
              <w:top w:val="nil"/>
            </w:tcBorders>
            <w:shd w:val="clear" w:color="auto" w:fill="D9E2F3" w:themeFill="accent5" w:themeFillTint="33"/>
            <w:noWrap/>
          </w:tcPr>
          <w:p w:rsidR="00146245" w:rsidRPr="00C60320" w:rsidRDefault="00146245" w:rsidP="00146245">
            <w:pPr>
              <w:spacing w:after="0"/>
              <w:jc w:val="center"/>
              <w:rPr>
                <w:sz w:val="20"/>
                <w:szCs w:val="20"/>
              </w:rPr>
            </w:pPr>
            <w:r w:rsidRPr="00C60320">
              <w:rPr>
                <w:sz w:val="20"/>
                <w:szCs w:val="20"/>
              </w:rPr>
              <w:t>8,3</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Arboga kommun</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379</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455</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20,1</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Fagersta kommun</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413</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448</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8,5</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Hallstahammars kommun</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507</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636</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25,4</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Kungsörs kommun</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282</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270</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- 4,3</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Köpings kommun</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1 016</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995</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- 2,1</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Norbergs kommun</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157</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171</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8,9</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Sala kommun</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706</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696</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- 1,4</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Skinnskattebergs kommun</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89</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89</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0</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Surahammars kommun</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347</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370</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6,6</w:t>
            </w:r>
          </w:p>
        </w:tc>
      </w:tr>
      <w:tr w:rsidR="00146245" w:rsidRPr="00C60320" w:rsidTr="00146245">
        <w:trPr>
          <w:trHeight w:val="252"/>
        </w:trPr>
        <w:tc>
          <w:tcPr>
            <w:tcW w:w="4377" w:type="dxa"/>
            <w:shd w:val="clear" w:color="auto" w:fill="FFFFFF" w:themeFill="background1"/>
            <w:noWrap/>
            <w:vAlign w:val="bottom"/>
            <w:hideMark/>
          </w:tcPr>
          <w:p w:rsidR="00146245" w:rsidRPr="00C60320" w:rsidRDefault="00146245" w:rsidP="00146245">
            <w:pPr>
              <w:spacing w:after="0"/>
              <w:ind w:left="142"/>
              <w:rPr>
                <w:rFonts w:cs="Calibri"/>
                <w:sz w:val="20"/>
              </w:rPr>
            </w:pPr>
            <w:r w:rsidRPr="00C60320">
              <w:rPr>
                <w:rFonts w:cs="Calibri"/>
                <w:sz w:val="20"/>
              </w:rPr>
              <w:t>Västerås stad</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4 885</w:t>
            </w:r>
          </w:p>
        </w:tc>
        <w:tc>
          <w:tcPr>
            <w:tcW w:w="1640" w:type="dxa"/>
            <w:shd w:val="clear" w:color="auto" w:fill="FFFFFF" w:themeFill="background1"/>
          </w:tcPr>
          <w:p w:rsidR="00146245" w:rsidRPr="00C60320" w:rsidRDefault="00146245" w:rsidP="00146245">
            <w:pPr>
              <w:spacing w:after="0"/>
              <w:jc w:val="center"/>
              <w:rPr>
                <w:sz w:val="20"/>
                <w:szCs w:val="20"/>
              </w:rPr>
            </w:pPr>
            <w:r w:rsidRPr="00C60320">
              <w:rPr>
                <w:sz w:val="20"/>
                <w:szCs w:val="20"/>
              </w:rPr>
              <w:t>5 378</w:t>
            </w:r>
          </w:p>
        </w:tc>
        <w:tc>
          <w:tcPr>
            <w:tcW w:w="1369" w:type="dxa"/>
            <w:shd w:val="clear" w:color="auto" w:fill="FFFFFF" w:themeFill="background1"/>
            <w:noWrap/>
          </w:tcPr>
          <w:p w:rsidR="00146245" w:rsidRPr="00C60320" w:rsidRDefault="00146245" w:rsidP="00146245">
            <w:pPr>
              <w:spacing w:after="0"/>
              <w:jc w:val="center"/>
              <w:rPr>
                <w:sz w:val="20"/>
                <w:szCs w:val="20"/>
              </w:rPr>
            </w:pPr>
            <w:r w:rsidRPr="00C60320">
              <w:rPr>
                <w:sz w:val="20"/>
                <w:szCs w:val="20"/>
              </w:rPr>
              <w:t>10,1</w:t>
            </w:r>
          </w:p>
        </w:tc>
      </w:tr>
      <w:tr w:rsidR="00146245" w:rsidRPr="00C60320" w:rsidTr="00146245">
        <w:trPr>
          <w:trHeight w:val="252"/>
        </w:trPr>
        <w:tc>
          <w:tcPr>
            <w:tcW w:w="4377" w:type="dxa"/>
            <w:shd w:val="clear" w:color="auto" w:fill="FFFFFF" w:themeFill="background1"/>
            <w:noWrap/>
            <w:vAlign w:val="bottom"/>
          </w:tcPr>
          <w:p w:rsidR="00146245" w:rsidRPr="00C60320" w:rsidRDefault="00146245" w:rsidP="00146245">
            <w:pPr>
              <w:spacing w:after="0"/>
              <w:rPr>
                <w:rFonts w:cs="Calibri"/>
                <w:sz w:val="20"/>
              </w:rPr>
            </w:pPr>
          </w:p>
        </w:tc>
        <w:tc>
          <w:tcPr>
            <w:tcW w:w="1640" w:type="dxa"/>
            <w:shd w:val="clear" w:color="auto" w:fill="FFFFFF" w:themeFill="background1"/>
          </w:tcPr>
          <w:p w:rsidR="00146245" w:rsidRPr="00C60320" w:rsidRDefault="00146245" w:rsidP="00146245">
            <w:pPr>
              <w:spacing w:after="0"/>
              <w:jc w:val="center"/>
              <w:rPr>
                <w:sz w:val="20"/>
                <w:szCs w:val="20"/>
              </w:rPr>
            </w:pPr>
          </w:p>
        </w:tc>
        <w:tc>
          <w:tcPr>
            <w:tcW w:w="1640" w:type="dxa"/>
            <w:shd w:val="clear" w:color="auto" w:fill="FFFFFF" w:themeFill="background1"/>
          </w:tcPr>
          <w:p w:rsidR="00146245" w:rsidRPr="00C60320" w:rsidRDefault="00146245" w:rsidP="00146245">
            <w:pPr>
              <w:spacing w:after="0"/>
              <w:jc w:val="center"/>
              <w:rPr>
                <w:sz w:val="20"/>
                <w:szCs w:val="20"/>
              </w:rPr>
            </w:pPr>
          </w:p>
        </w:tc>
        <w:tc>
          <w:tcPr>
            <w:tcW w:w="1369" w:type="dxa"/>
            <w:shd w:val="clear" w:color="auto" w:fill="FFFFFF" w:themeFill="background1"/>
            <w:noWrap/>
          </w:tcPr>
          <w:p w:rsidR="00146245" w:rsidRPr="00C60320" w:rsidRDefault="00146245" w:rsidP="00146245">
            <w:pPr>
              <w:spacing w:after="0"/>
              <w:jc w:val="center"/>
              <w:rPr>
                <w:sz w:val="20"/>
                <w:szCs w:val="20"/>
              </w:rPr>
            </w:pPr>
          </w:p>
        </w:tc>
      </w:tr>
    </w:tbl>
    <w:p w:rsidR="000324B1" w:rsidRDefault="000324B1" w:rsidP="000324B1">
      <w:pPr>
        <w:rPr>
          <w:rFonts w:cs="Calibri"/>
        </w:rPr>
      </w:pPr>
    </w:p>
    <w:p w:rsidR="000324B1" w:rsidRDefault="000324B1" w:rsidP="000324B1">
      <w:pPr>
        <w:rPr>
          <w:rFonts w:cs="Calibri"/>
        </w:rPr>
      </w:pPr>
    </w:p>
    <w:p w:rsidR="000324B1" w:rsidRDefault="000324B1" w:rsidP="000324B1">
      <w:pPr>
        <w:rPr>
          <w:rFonts w:cs="Calibri"/>
        </w:rPr>
      </w:pPr>
    </w:p>
    <w:p w:rsidR="000324B1" w:rsidRDefault="000324B1" w:rsidP="000324B1">
      <w:pPr>
        <w:rPr>
          <w:rFonts w:cs="Calibri"/>
        </w:rPr>
      </w:pPr>
    </w:p>
    <w:p w:rsidR="000324B1" w:rsidRDefault="000324B1" w:rsidP="000324B1">
      <w:pPr>
        <w:rPr>
          <w:rFonts w:cs="Calibri"/>
        </w:rPr>
      </w:pPr>
    </w:p>
    <w:p w:rsidR="000324B1" w:rsidRDefault="000324B1" w:rsidP="000324B1">
      <w:pPr>
        <w:rPr>
          <w:rFonts w:cs="Calibri"/>
        </w:rPr>
      </w:pPr>
    </w:p>
    <w:p w:rsidR="000324B1" w:rsidRDefault="000324B1" w:rsidP="000324B1">
      <w:pPr>
        <w:rPr>
          <w:rFonts w:cs="Calibri"/>
        </w:rPr>
      </w:pPr>
    </w:p>
    <w:p w:rsidR="00C0437D" w:rsidRDefault="00C0437D" w:rsidP="000324B1">
      <w:pPr>
        <w:rPr>
          <w:rFonts w:cs="Calibri"/>
        </w:rPr>
      </w:pPr>
    </w:p>
    <w:p w:rsidR="0097286C" w:rsidRDefault="0097286C" w:rsidP="000324B1">
      <w:pPr>
        <w:rPr>
          <w:rFonts w:cs="Calibri"/>
        </w:rPr>
      </w:pPr>
    </w:p>
    <w:p w:rsidR="0097286C" w:rsidRDefault="0097286C" w:rsidP="000324B1">
      <w:pPr>
        <w:rPr>
          <w:rFonts w:cs="Calibri"/>
        </w:rPr>
      </w:pPr>
    </w:p>
    <w:p w:rsidR="0097286C" w:rsidRDefault="0097286C" w:rsidP="000324B1">
      <w:pPr>
        <w:rPr>
          <w:rFonts w:cs="Calibri"/>
        </w:rPr>
      </w:pPr>
    </w:p>
    <w:p w:rsidR="00146245" w:rsidRDefault="00146245" w:rsidP="0097286C">
      <w:pPr>
        <w:rPr>
          <w:rFonts w:cs="Calibri"/>
        </w:rPr>
      </w:pPr>
    </w:p>
    <w:p w:rsidR="00146245" w:rsidRDefault="00146245" w:rsidP="0097286C">
      <w:pPr>
        <w:rPr>
          <w:rFonts w:cs="Calibri"/>
        </w:rPr>
      </w:pPr>
    </w:p>
    <w:p w:rsidR="00AA76D5" w:rsidRPr="0045305B" w:rsidRDefault="00DD7F1F" w:rsidP="0097286C">
      <w:r>
        <w:rPr>
          <w:rFonts w:cs="Calibri"/>
        </w:rPr>
        <w:t>De</w:t>
      </w:r>
      <w:r w:rsidR="00AA5943" w:rsidRPr="00C60320">
        <w:rPr>
          <w:rFonts w:cs="Calibri"/>
        </w:rPr>
        <w:t xml:space="preserve"> uthyrda individmärkta</w:t>
      </w:r>
      <w:r w:rsidR="00AA5943" w:rsidRPr="00C60320">
        <w:rPr>
          <w:rStyle w:val="Fotnotsreferens"/>
          <w:rFonts w:cs="Calibri"/>
        </w:rPr>
        <w:footnoteReference w:id="4"/>
      </w:r>
      <w:r w:rsidR="00AA5943" w:rsidRPr="00C60320">
        <w:rPr>
          <w:rFonts w:cs="Calibri"/>
        </w:rPr>
        <w:t xml:space="preserve"> hjälpmed</w:t>
      </w:r>
      <w:r>
        <w:rPr>
          <w:rFonts w:cs="Calibri"/>
        </w:rPr>
        <w:t>len</w:t>
      </w:r>
      <w:r w:rsidR="00AA5943" w:rsidRPr="00C60320">
        <w:rPr>
          <w:rFonts w:cs="Calibri"/>
        </w:rPr>
        <w:t xml:space="preserve"> ökade </w:t>
      </w:r>
      <w:r w:rsidR="008D05CF" w:rsidRPr="00C60320">
        <w:rPr>
          <w:rFonts w:cs="Calibri"/>
        </w:rPr>
        <w:t>5,0</w:t>
      </w:r>
      <w:r w:rsidR="00AA5943" w:rsidRPr="00C60320">
        <w:rPr>
          <w:rFonts w:cs="Calibri"/>
        </w:rPr>
        <w:t xml:space="preserve"> % och uthyrda huvudhjälpmedel </w:t>
      </w:r>
      <w:r w:rsidR="008D05CF" w:rsidRPr="00C60320">
        <w:rPr>
          <w:rFonts w:cs="Calibri"/>
        </w:rPr>
        <w:t>4,3</w:t>
      </w:r>
      <w:r w:rsidR="00AA5943" w:rsidRPr="00C60320">
        <w:rPr>
          <w:rFonts w:cs="Calibri"/>
        </w:rPr>
        <w:t xml:space="preserve"> %</w:t>
      </w:r>
      <w:r w:rsidR="00AA5943" w:rsidRPr="003F3F8E">
        <w:rPr>
          <w:rFonts w:cs="Calibri"/>
        </w:rPr>
        <w:t xml:space="preserve">. </w:t>
      </w:r>
      <w:r w:rsidR="0097286C">
        <w:rPr>
          <w:rFonts w:cs="Calibri"/>
        </w:rPr>
        <w:br/>
      </w:r>
      <w:r w:rsidR="00AA76D5" w:rsidRPr="0097286C">
        <w:rPr>
          <w:rStyle w:val="Rubrik3Char"/>
          <w:rFonts w:eastAsia="Calibri"/>
          <w:i w:val="0"/>
        </w:rPr>
        <w:t>Störst volymökning för hyreshjälpmedel</w:t>
      </w:r>
      <w:r w:rsidR="0097286C">
        <w:rPr>
          <w:rStyle w:val="Rubrik3Char"/>
          <w:rFonts w:eastAsia="Calibri"/>
        </w:rPr>
        <w:br/>
      </w:r>
      <w:r w:rsidR="00AA76D5" w:rsidRPr="0045305B">
        <w:rPr>
          <w:rFonts w:cs="Calibri"/>
        </w:rPr>
        <w:t>Cirkulationsbehandling</w:t>
      </w:r>
      <w:r w:rsidR="00AA76D5" w:rsidRPr="0045305B">
        <w:rPr>
          <w:rFonts w:cs="Calibri"/>
        </w:rPr>
        <w:tab/>
      </w:r>
      <w:r w:rsidR="0097286C">
        <w:rPr>
          <w:rFonts w:cs="Calibri"/>
        </w:rPr>
        <w:tab/>
      </w:r>
      <w:r w:rsidR="0097286C">
        <w:rPr>
          <w:rFonts w:cs="Calibri"/>
        </w:rPr>
        <w:tab/>
      </w:r>
      <w:r w:rsidR="0097286C">
        <w:rPr>
          <w:rFonts w:cs="Calibri"/>
        </w:rPr>
        <w:tab/>
      </w:r>
      <w:r w:rsidR="00AA76D5" w:rsidRPr="0045305B">
        <w:rPr>
          <w:rFonts w:cs="Calibri"/>
        </w:rPr>
        <w:t>+ 58 %</w:t>
      </w:r>
      <w:r w:rsidR="0097286C">
        <w:rPr>
          <w:rFonts w:cs="Calibri"/>
        </w:rPr>
        <w:br/>
      </w:r>
      <w:r w:rsidR="00AA76D5" w:rsidRPr="0045305B">
        <w:rPr>
          <w:rFonts w:cs="Calibri"/>
        </w:rPr>
        <w:t>Insulinpumpar</w:t>
      </w:r>
      <w:r w:rsidR="0097286C">
        <w:rPr>
          <w:rFonts w:cs="Calibri"/>
        </w:rPr>
        <w:tab/>
      </w:r>
      <w:r w:rsidR="0097286C">
        <w:rPr>
          <w:rFonts w:cs="Calibri"/>
        </w:rPr>
        <w:tab/>
      </w:r>
      <w:r w:rsidR="0097286C">
        <w:rPr>
          <w:rFonts w:cs="Calibri"/>
        </w:rPr>
        <w:tab/>
      </w:r>
      <w:r w:rsidR="0097286C">
        <w:rPr>
          <w:rFonts w:cs="Calibri"/>
        </w:rPr>
        <w:tab/>
      </w:r>
      <w:r w:rsidR="00AA76D5" w:rsidRPr="0045305B">
        <w:rPr>
          <w:rFonts w:cs="Calibri"/>
        </w:rPr>
        <w:tab/>
        <w:t>+ 44 %</w:t>
      </w:r>
      <w:r w:rsidR="0097286C">
        <w:rPr>
          <w:rFonts w:cs="Calibri"/>
        </w:rPr>
        <w:br/>
      </w:r>
      <w:r w:rsidR="00AA76D5" w:rsidRPr="0045305B">
        <w:rPr>
          <w:rFonts w:cs="Calibri"/>
        </w:rPr>
        <w:t>Tyngdhjälpmedel - den ökande trenden fortsätter utan avmattning</w:t>
      </w:r>
      <w:r w:rsidR="00AA76D5" w:rsidRPr="0045305B">
        <w:rPr>
          <w:rFonts w:cs="Calibri"/>
        </w:rPr>
        <w:tab/>
        <w:t xml:space="preserve">+ 38 % </w:t>
      </w:r>
      <w:r w:rsidR="0097286C">
        <w:rPr>
          <w:rFonts w:cs="Calibri"/>
        </w:rPr>
        <w:br/>
      </w:r>
      <w:r w:rsidR="00AA76D5" w:rsidRPr="0045305B">
        <w:t xml:space="preserve">Överflyttningsplattformar </w:t>
      </w:r>
      <w:r w:rsidR="0097286C">
        <w:tab/>
      </w:r>
      <w:r w:rsidR="0097286C">
        <w:tab/>
      </w:r>
      <w:r w:rsidR="0097286C">
        <w:tab/>
      </w:r>
      <w:r w:rsidR="00AA76D5" w:rsidRPr="0045305B">
        <w:tab/>
        <w:t>+ 22 %</w:t>
      </w:r>
      <w:r w:rsidR="0097286C">
        <w:br/>
      </w:r>
      <w:r w:rsidR="00AA76D5" w:rsidRPr="0045305B">
        <w:t>Lyftselar</w:t>
      </w:r>
      <w:r w:rsidR="00AA76D5" w:rsidRPr="0045305B">
        <w:tab/>
      </w:r>
      <w:r w:rsidR="0097286C">
        <w:tab/>
      </w:r>
      <w:r w:rsidR="0097286C">
        <w:tab/>
      </w:r>
      <w:r w:rsidR="0097286C">
        <w:tab/>
      </w:r>
      <w:r w:rsidR="0097286C">
        <w:tab/>
      </w:r>
      <w:r w:rsidR="00AA76D5" w:rsidRPr="0045305B">
        <w:t>+ 21 %</w:t>
      </w:r>
      <w:r w:rsidR="0097286C">
        <w:br/>
      </w:r>
      <w:r w:rsidR="00AA76D5" w:rsidRPr="0045305B">
        <w:t>Ur och klockor</w:t>
      </w:r>
      <w:r w:rsidR="00185312">
        <w:tab/>
      </w:r>
      <w:r w:rsidR="00185312">
        <w:tab/>
      </w:r>
      <w:r w:rsidR="00185312">
        <w:tab/>
      </w:r>
      <w:r w:rsidR="00185312">
        <w:tab/>
      </w:r>
      <w:r w:rsidR="00AA76D5" w:rsidRPr="0045305B">
        <w:tab/>
        <w:t>+ 17 %</w:t>
      </w:r>
    </w:p>
    <w:p w:rsidR="00AA76D5" w:rsidRPr="0045305B" w:rsidRDefault="00AA76D5" w:rsidP="00512658">
      <w:pPr>
        <w:pStyle w:val="Rubrik3"/>
        <w:spacing w:line="276" w:lineRule="auto"/>
        <w:rPr>
          <w:rStyle w:val="Rubrik3Char"/>
          <w:rFonts w:eastAsia="Calibri"/>
          <w:b/>
        </w:rPr>
      </w:pPr>
      <w:r w:rsidRPr="0045305B">
        <w:rPr>
          <w:rStyle w:val="Rubrik3Char"/>
          <w:rFonts w:eastAsia="Calibri"/>
          <w:b/>
        </w:rPr>
        <w:lastRenderedPageBreak/>
        <w:t>Störst volymökning för försäljningshjälpmedel</w:t>
      </w:r>
      <w:r w:rsidRPr="0045305B">
        <w:rPr>
          <w:rStyle w:val="Rubrik3Char"/>
          <w:rFonts w:eastAsia="Calibri"/>
          <w:i/>
        </w:rPr>
        <w:t xml:space="preserve"> </w:t>
      </w:r>
    </w:p>
    <w:p w:rsidR="00AA76D5" w:rsidRPr="003F3F8E" w:rsidRDefault="00AA76D5" w:rsidP="00512658">
      <w:pPr>
        <w:rPr>
          <w:rFonts w:cs="Calibri"/>
        </w:rPr>
      </w:pPr>
      <w:r w:rsidRPr="0045305B">
        <w:t>Trenden att vårdenheter köper fler hjälpmedel via Hjälpmedelscentrum fortsätter. Störst volymökning gällande fö</w:t>
      </w:r>
      <w:r w:rsidR="00781D90">
        <w:t>rsäljningshjälpmedel utgörs av d</w:t>
      </w:r>
      <w:r w:rsidRPr="0045305B">
        <w:t xml:space="preserve">yslexiprogram (nytt hjälpmedel 2017), arbetsstolar, tyngdhjälpmedel och </w:t>
      </w:r>
      <w:r w:rsidRPr="003F3F8E">
        <w:t>träningsredskap.</w:t>
      </w:r>
    </w:p>
    <w:bookmarkEnd w:id="4"/>
    <w:p w:rsidR="003F3F8E" w:rsidRPr="003F3F8E" w:rsidRDefault="008C334E" w:rsidP="008261A2">
      <w:pPr>
        <w:pStyle w:val="Rubrik3"/>
        <w:spacing w:line="276" w:lineRule="auto"/>
        <w:rPr>
          <w:i w:val="0"/>
        </w:rPr>
      </w:pPr>
      <w:r>
        <w:rPr>
          <w:i w:val="0"/>
        </w:rPr>
        <w:t xml:space="preserve">Patientsäkerhet </w:t>
      </w:r>
    </w:p>
    <w:p w:rsidR="008C334E" w:rsidRDefault="008C334E" w:rsidP="008C334E">
      <w:pPr>
        <w:pStyle w:val="Brdtext"/>
      </w:pPr>
      <w:r>
        <w:t>Patientsäkerhetskulturmätningen visar på förbättrat resultat.</w:t>
      </w:r>
    </w:p>
    <w:p w:rsidR="00AA5943" w:rsidRPr="001E06E7" w:rsidRDefault="00383A0F" w:rsidP="003F3F8E">
      <w:pPr>
        <w:pStyle w:val="Brdtext"/>
        <w:rPr>
          <w:bCs/>
          <w:color w:val="FF0000"/>
        </w:rPr>
      </w:pPr>
      <w:r w:rsidRPr="003F3F8E">
        <w:t>Det finns</w:t>
      </w:r>
      <w:r w:rsidR="00AA5943" w:rsidRPr="003F3F8E">
        <w:t xml:space="preserve"> fyra system för avvikelser</w:t>
      </w:r>
      <w:r w:rsidR="00783D35">
        <w:t xml:space="preserve"> se fotnot</w:t>
      </w:r>
      <w:r w:rsidR="00AA5943" w:rsidRPr="003F3F8E">
        <w:rPr>
          <w:rStyle w:val="Fotnotsreferens"/>
          <w:rFonts w:cs="Calibri"/>
          <w:b/>
          <w:i/>
        </w:rPr>
        <w:footnoteReference w:id="5"/>
      </w:r>
      <w:r w:rsidR="00AA5943" w:rsidRPr="003F3F8E">
        <w:t xml:space="preserve">. Alla avvikelser i webSesam </w:t>
      </w:r>
      <w:r w:rsidR="00AA5943" w:rsidRPr="00BE76CF">
        <w:t>och Synergi analyseras och allvarlighetsbedöms inom fyra veckor</w:t>
      </w:r>
      <w:r w:rsidR="00AA5943" w:rsidRPr="0004459B">
        <w:t>.</w:t>
      </w:r>
      <w:r w:rsidR="00AA5943" w:rsidRPr="001E06E7">
        <w:rPr>
          <w:color w:val="FF0000"/>
        </w:rPr>
        <w:t xml:space="preserve"> </w:t>
      </w:r>
    </w:p>
    <w:p w:rsidR="0004459B" w:rsidRPr="00742171" w:rsidRDefault="0004459B" w:rsidP="003F3F8E">
      <w:pPr>
        <w:pStyle w:val="Brdtext"/>
      </w:pPr>
      <w:r w:rsidRPr="00512658">
        <w:rPr>
          <w:i/>
        </w:rPr>
        <w:t>WebSesam</w:t>
      </w:r>
      <w:r w:rsidR="00742171" w:rsidRPr="00265097">
        <w:t>:</w:t>
      </w:r>
      <w:r w:rsidR="00742171" w:rsidRPr="00742171">
        <w:t xml:space="preserve"> </w:t>
      </w:r>
      <w:r w:rsidR="00A364F9">
        <w:t>F</w:t>
      </w:r>
      <w:r w:rsidRPr="00742171">
        <w:t xml:space="preserve">örskrivare </w:t>
      </w:r>
      <w:r w:rsidR="00A364F9">
        <w:t xml:space="preserve">har </w:t>
      </w:r>
      <w:r w:rsidRPr="00742171">
        <w:t>registrerat 423 avvikelser</w:t>
      </w:r>
      <w:r w:rsidR="00A364F9">
        <w:t xml:space="preserve"> till Hjälpmedelscentrum</w:t>
      </w:r>
      <w:r w:rsidR="00783D35">
        <w:t>,</w:t>
      </w:r>
      <w:r w:rsidR="008261A2">
        <w:t xml:space="preserve"> en minskning </w:t>
      </w:r>
      <w:r w:rsidR="00A364F9">
        <w:t>med</w:t>
      </w:r>
      <w:r w:rsidR="008261A2">
        <w:t xml:space="preserve"> 8,9 % jämfört med 2016. </w:t>
      </w:r>
      <w:r w:rsidRPr="00742171">
        <w:t xml:space="preserve">86 % rör leveranser </w:t>
      </w:r>
      <w:r w:rsidR="008261A2">
        <w:t>som orsakas</w:t>
      </w:r>
      <w:r w:rsidRPr="00742171">
        <w:t xml:space="preserve"> </w:t>
      </w:r>
      <w:r w:rsidR="008261A2">
        <w:t>av brister kring</w:t>
      </w:r>
      <w:r w:rsidRPr="00742171">
        <w:t xml:space="preserve"> plockning, transport, rekonditionering eller godsmottagning i nämnd ordning. </w:t>
      </w:r>
      <w:r w:rsidR="00A364F9">
        <w:t>Ett mindre antal</w:t>
      </w:r>
      <w:r w:rsidRPr="00742171">
        <w:t xml:space="preserve"> avvikelser </w:t>
      </w:r>
      <w:r w:rsidR="00A364F9">
        <w:t>avser brister kring</w:t>
      </w:r>
      <w:r w:rsidRPr="00742171">
        <w:t xml:space="preserve"> teknisk service, IT och fel vid förskrivning. 8 negativa händelser</w:t>
      </w:r>
      <w:r w:rsidR="00A364F9">
        <w:t>/</w:t>
      </w:r>
      <w:r w:rsidRPr="00742171">
        <w:t xml:space="preserve">tillbud </w:t>
      </w:r>
      <w:r w:rsidR="008261A2">
        <w:t>har</w:t>
      </w:r>
      <w:r w:rsidRPr="00742171">
        <w:t xml:space="preserve"> överförts till Synergi.</w:t>
      </w:r>
    </w:p>
    <w:p w:rsidR="0004459B" w:rsidRDefault="0004459B" w:rsidP="00783D35">
      <w:pPr>
        <w:pStyle w:val="Brdtext"/>
        <w:spacing w:after="0" w:line="276" w:lineRule="auto"/>
      </w:pPr>
      <w:r>
        <w:t xml:space="preserve">Hjälpmedelscentrum </w:t>
      </w:r>
      <w:r w:rsidR="00742171">
        <w:t xml:space="preserve">har </w:t>
      </w:r>
      <w:r>
        <w:t xml:space="preserve">registrerat 78 avvikelser till förskrivare. </w:t>
      </w:r>
      <w:r w:rsidR="008261A2">
        <w:t>En ana</w:t>
      </w:r>
      <w:r>
        <w:t xml:space="preserve">lys </w:t>
      </w:r>
      <w:r w:rsidR="00783D35">
        <w:t xml:space="preserve">av dessa </w:t>
      </w:r>
      <w:r w:rsidR="00A364F9">
        <w:t>v</w:t>
      </w:r>
      <w:r w:rsidR="008261A2">
        <w:t>isar</w:t>
      </w:r>
      <w:r>
        <w:t xml:space="preserve"> </w:t>
      </w:r>
      <w:r w:rsidR="00742171">
        <w:t>att:</w:t>
      </w:r>
    </w:p>
    <w:p w:rsidR="0004459B" w:rsidRDefault="0004459B" w:rsidP="00783D35">
      <w:pPr>
        <w:pStyle w:val="Brdtext"/>
        <w:numPr>
          <w:ilvl w:val="0"/>
          <w:numId w:val="15"/>
        </w:numPr>
        <w:spacing w:after="0" w:line="240" w:lineRule="auto"/>
      </w:pPr>
      <w:r>
        <w:t>38 % oklar/ofullständig/felaktig information på ordination och hämtorder, f</w:t>
      </w:r>
      <w:r w:rsidRPr="003C2A12">
        <w:t xml:space="preserve">elaktig individ </w:t>
      </w:r>
      <w:r>
        <w:t>eller felaktigt personnummer, h</w:t>
      </w:r>
      <w:r w:rsidR="00781D90">
        <w:t>ämtorder via webS</w:t>
      </w:r>
      <w:r w:rsidRPr="003C2A12">
        <w:t xml:space="preserve">esam </w:t>
      </w:r>
      <w:r>
        <w:t xml:space="preserve">där </w:t>
      </w:r>
      <w:r w:rsidRPr="003C2A12">
        <w:t xml:space="preserve">telefonnummer och kontaktperson </w:t>
      </w:r>
      <w:r>
        <w:t>inte</w:t>
      </w:r>
      <w:r w:rsidRPr="003C2A12">
        <w:t xml:space="preserve"> </w:t>
      </w:r>
      <w:r>
        <w:t xml:space="preserve">är </w:t>
      </w:r>
      <w:r w:rsidR="00781D90">
        <w:t>tvingande uppgifter och därför glöms bort</w:t>
      </w:r>
      <w:r w:rsidRPr="003C2A12">
        <w:t xml:space="preserve">.  </w:t>
      </w:r>
    </w:p>
    <w:p w:rsidR="0004459B" w:rsidRDefault="0004459B" w:rsidP="00783D35">
      <w:pPr>
        <w:pStyle w:val="Brdtext"/>
        <w:numPr>
          <w:ilvl w:val="0"/>
          <w:numId w:val="15"/>
        </w:numPr>
        <w:spacing w:after="0" w:line="240" w:lineRule="auto"/>
      </w:pPr>
      <w:r>
        <w:t xml:space="preserve">25 % gällde komponenthantering, </w:t>
      </w:r>
    </w:p>
    <w:p w:rsidR="0004459B" w:rsidRDefault="0004459B" w:rsidP="00783D35">
      <w:pPr>
        <w:pStyle w:val="Brdtext"/>
        <w:numPr>
          <w:ilvl w:val="0"/>
          <w:numId w:val="15"/>
        </w:numPr>
        <w:spacing w:after="0" w:line="240" w:lineRule="auto"/>
      </w:pPr>
      <w:r>
        <w:t xml:space="preserve">24 % hade ett felaktigt angivet leveranssätt. </w:t>
      </w:r>
    </w:p>
    <w:p w:rsidR="0004459B" w:rsidRDefault="0004459B" w:rsidP="00783D35">
      <w:pPr>
        <w:pStyle w:val="Brdtext"/>
        <w:numPr>
          <w:ilvl w:val="0"/>
          <w:numId w:val="15"/>
        </w:numPr>
        <w:spacing w:after="0" w:line="240" w:lineRule="auto"/>
      </w:pPr>
      <w:r>
        <w:t xml:space="preserve">10 % på förskrivning av peruker. </w:t>
      </w:r>
    </w:p>
    <w:p w:rsidR="00783D35" w:rsidRDefault="00783D35" w:rsidP="00783D35">
      <w:pPr>
        <w:pStyle w:val="Brdtext"/>
        <w:spacing w:after="0" w:line="276" w:lineRule="auto"/>
      </w:pPr>
      <w:r>
        <w:rPr>
          <w:i/>
        </w:rPr>
        <w:br/>
      </w:r>
      <w:r w:rsidR="0004459B" w:rsidRPr="00265097">
        <w:rPr>
          <w:i/>
        </w:rPr>
        <w:t>Synergi</w:t>
      </w:r>
      <w:r w:rsidR="00781D90">
        <w:rPr>
          <w:i/>
        </w:rPr>
        <w:t>:</w:t>
      </w:r>
      <w:r w:rsidR="00742171">
        <w:t xml:space="preserve"> </w:t>
      </w:r>
      <w:r>
        <w:t xml:space="preserve">totalt </w:t>
      </w:r>
      <w:r w:rsidR="005B634B">
        <w:t xml:space="preserve">59 avvikelser </w:t>
      </w:r>
      <w:r>
        <w:t xml:space="preserve">som berör </w:t>
      </w:r>
      <w:r w:rsidR="005B634B">
        <w:t>Hjälpmedelscentrum</w:t>
      </w:r>
      <w:r>
        <w:t xml:space="preserve"> och 71 avvikelser till annan part varav:</w:t>
      </w:r>
    </w:p>
    <w:p w:rsidR="00783D35" w:rsidRDefault="005B634B" w:rsidP="00783D35">
      <w:pPr>
        <w:pStyle w:val="Brdtext"/>
        <w:numPr>
          <w:ilvl w:val="0"/>
          <w:numId w:val="21"/>
        </w:numPr>
        <w:spacing w:after="0" w:line="240" w:lineRule="auto"/>
      </w:pPr>
      <w:r>
        <w:t xml:space="preserve">11 </w:t>
      </w:r>
      <w:r w:rsidR="00783D35">
        <w:t xml:space="preserve">avvikelser </w:t>
      </w:r>
      <w:r>
        <w:t xml:space="preserve">avser </w:t>
      </w:r>
      <w:r w:rsidR="0004459B" w:rsidRPr="00742171">
        <w:t>negativa händelser</w:t>
      </w:r>
      <w:r w:rsidR="008261A2">
        <w:t>/</w:t>
      </w:r>
      <w:r w:rsidR="0004459B" w:rsidRPr="00742171">
        <w:t xml:space="preserve">tillbud </w:t>
      </w:r>
      <w:r>
        <w:t>då</w:t>
      </w:r>
      <w:r w:rsidR="0004459B" w:rsidRPr="00742171">
        <w:t xml:space="preserve"> hjälpmedel </w:t>
      </w:r>
      <w:r w:rsidR="00783D35">
        <w:t>var</w:t>
      </w:r>
      <w:r>
        <w:t xml:space="preserve"> </w:t>
      </w:r>
      <w:r w:rsidR="0004459B" w:rsidRPr="00742171">
        <w:t>inbland</w:t>
      </w:r>
      <w:r w:rsidR="00783D35">
        <w:t>ad,</w:t>
      </w:r>
      <w:r>
        <w:t xml:space="preserve"> 9</w:t>
      </w:r>
      <w:r w:rsidR="0004459B" w:rsidRPr="00742171">
        <w:t xml:space="preserve"> är anmälda till Läkemedelsverket</w:t>
      </w:r>
    </w:p>
    <w:p w:rsidR="00783D35" w:rsidRDefault="00675079" w:rsidP="00783D35">
      <w:pPr>
        <w:pStyle w:val="Brdtext"/>
        <w:numPr>
          <w:ilvl w:val="0"/>
          <w:numId w:val="21"/>
        </w:numPr>
        <w:spacing w:after="0" w:line="240" w:lineRule="auto"/>
      </w:pPr>
      <w:r>
        <w:t>9</w:t>
      </w:r>
      <w:r w:rsidR="0004459B" w:rsidRPr="008261A2">
        <w:t xml:space="preserve"> avvikelser på felaktiga eller felaktigt levererade hjälpmedel</w:t>
      </w:r>
    </w:p>
    <w:p w:rsidR="00783D35" w:rsidRDefault="005B634B" w:rsidP="00775C37">
      <w:pPr>
        <w:pStyle w:val="Brdtext"/>
        <w:numPr>
          <w:ilvl w:val="0"/>
          <w:numId w:val="21"/>
        </w:numPr>
        <w:spacing w:after="0" w:line="276" w:lineRule="auto"/>
      </w:pPr>
      <w:r w:rsidRPr="00742171">
        <w:t xml:space="preserve">71 </w:t>
      </w:r>
      <w:r>
        <w:t xml:space="preserve">avvikelser från Hjälpmedelscentrum </w:t>
      </w:r>
      <w:r w:rsidR="00783D35">
        <w:t xml:space="preserve">på </w:t>
      </w:r>
      <w:r>
        <w:t>grund av</w:t>
      </w:r>
      <w:r w:rsidRPr="00742171">
        <w:t xml:space="preserve"> sen anmälan om flytt till särskilt boende</w:t>
      </w:r>
    </w:p>
    <w:p w:rsidR="00675079" w:rsidRDefault="00675079" w:rsidP="00775C37">
      <w:pPr>
        <w:pStyle w:val="Brdtext"/>
        <w:numPr>
          <w:ilvl w:val="0"/>
          <w:numId w:val="21"/>
        </w:numPr>
        <w:spacing w:after="0" w:line="276" w:lineRule="auto"/>
      </w:pPr>
      <w:r>
        <w:t>19 avser olika internrevisioner</w:t>
      </w:r>
      <w:r w:rsidR="00783D35">
        <w:t xml:space="preserve"> </w:t>
      </w:r>
    </w:p>
    <w:p w:rsidR="00675079" w:rsidRDefault="00675079" w:rsidP="00775C37">
      <w:pPr>
        <w:pStyle w:val="Brdtext"/>
        <w:numPr>
          <w:ilvl w:val="0"/>
          <w:numId w:val="21"/>
        </w:numPr>
        <w:spacing w:after="0" w:line="276" w:lineRule="auto"/>
      </w:pPr>
      <w:r>
        <w:t xml:space="preserve">10 interna avvikelser/förbättringsförslag </w:t>
      </w:r>
    </w:p>
    <w:p w:rsidR="00675079" w:rsidRPr="00783D35" w:rsidRDefault="00675079" w:rsidP="00775C37">
      <w:pPr>
        <w:pStyle w:val="Brdtext"/>
        <w:numPr>
          <w:ilvl w:val="0"/>
          <w:numId w:val="21"/>
        </w:numPr>
        <w:spacing w:after="0" w:line="276" w:lineRule="auto"/>
      </w:pPr>
      <w:r>
        <w:t xml:space="preserve">10 avvikelser rörande arbetsmiljö </w:t>
      </w:r>
    </w:p>
    <w:p w:rsidR="0004459B" w:rsidRDefault="0004459B" w:rsidP="00783D35">
      <w:pPr>
        <w:pStyle w:val="Brdtext"/>
        <w:spacing w:line="276" w:lineRule="auto"/>
      </w:pPr>
      <w:r w:rsidRPr="00783D35">
        <w:rPr>
          <w:i/>
        </w:rPr>
        <w:t>Leverantörsavvikelse</w:t>
      </w:r>
      <w:r w:rsidR="00781D90" w:rsidRPr="00781D90">
        <w:t>:</w:t>
      </w:r>
      <w:r w:rsidRPr="0004459B">
        <w:t xml:space="preserve"> 129 </w:t>
      </w:r>
      <w:r w:rsidR="00781D90">
        <w:t>avvikelser på grund av</w:t>
      </w:r>
      <w:r w:rsidRPr="0004459B">
        <w:t xml:space="preserve"> produktavvikelser, försening och felleveranser.</w:t>
      </w:r>
    </w:p>
    <w:p w:rsidR="009B704D" w:rsidRPr="00AE12A2" w:rsidRDefault="009B704D" w:rsidP="00AE12A2">
      <w:pPr>
        <w:pStyle w:val="Rubrik3"/>
        <w:rPr>
          <w:i w:val="0"/>
        </w:rPr>
      </w:pPr>
      <w:r w:rsidRPr="00AE12A2">
        <w:rPr>
          <w:i w:val="0"/>
        </w:rPr>
        <w:lastRenderedPageBreak/>
        <w:t>Åtgärder</w:t>
      </w:r>
    </w:p>
    <w:p w:rsidR="00271D2E" w:rsidRDefault="00271D2E" w:rsidP="003D15C8">
      <w:pPr>
        <w:pStyle w:val="Brdtext"/>
        <w:spacing w:line="276" w:lineRule="auto"/>
      </w:pPr>
      <w:r w:rsidRPr="006832AC">
        <w:t>En omfattande översyn av hjälpmedel i beställningssystemet har genomförts för att förtydliga vilka hjälpmedel som finns tillgängliga och förenkla vid förskrivning</w:t>
      </w:r>
      <w:r>
        <w:t>. Arbetet fortsätter under första halvåret 2018.</w:t>
      </w:r>
    </w:p>
    <w:p w:rsidR="0009513C" w:rsidRDefault="0009513C" w:rsidP="003D15C8">
      <w:pPr>
        <w:spacing w:after="0"/>
      </w:pPr>
      <w:r>
        <w:t>Fortsatta åtgärder pågå</w:t>
      </w:r>
      <w:r w:rsidR="00265097">
        <w:t xml:space="preserve">r för att öka användningen av </w:t>
      </w:r>
      <w:r w:rsidR="00781D90">
        <w:t xml:space="preserve">e-tjänster på </w:t>
      </w:r>
      <w:r w:rsidR="00265097">
        <w:t>11</w:t>
      </w:r>
      <w:r>
        <w:t>77</w:t>
      </w:r>
      <w:r w:rsidR="00781D90">
        <w:t xml:space="preserve"> Vårdguiden</w:t>
      </w:r>
      <w:r>
        <w:t>.</w:t>
      </w:r>
    </w:p>
    <w:p w:rsidR="0009513C" w:rsidRDefault="0009513C" w:rsidP="003D15C8">
      <w:pPr>
        <w:spacing w:after="0"/>
      </w:pPr>
    </w:p>
    <w:p w:rsidR="00265097" w:rsidRDefault="00795D2D" w:rsidP="003D15C8">
      <w:pPr>
        <w:spacing w:after="0"/>
      </w:pPr>
      <w:r>
        <w:t>Arbetet med s</w:t>
      </w:r>
      <w:r w:rsidRPr="00520F1B">
        <w:t xml:space="preserve">äker digital kommunikation </w:t>
      </w:r>
      <w:r>
        <w:t>för att ersätta fax sam</w:t>
      </w:r>
      <w:r w:rsidR="00781D90">
        <w:t>t införa SITHS-inloggning i web</w:t>
      </w:r>
      <w:r>
        <w:t>Sesam och i Sesam pågår</w:t>
      </w:r>
      <w:r w:rsidR="00265097">
        <w:t xml:space="preserve">. </w:t>
      </w:r>
      <w:r>
        <w:t>Inloggningssäkerheten kommer att förbättras</w:t>
      </w:r>
      <w:r w:rsidR="00A364F9">
        <w:t>.</w:t>
      </w:r>
      <w:r>
        <w:t xml:space="preserve"> </w:t>
      </w:r>
    </w:p>
    <w:p w:rsidR="00265097" w:rsidRDefault="00265097" w:rsidP="003D15C8">
      <w:pPr>
        <w:spacing w:after="0"/>
      </w:pPr>
    </w:p>
    <w:p w:rsidR="00265097" w:rsidRDefault="00795D2D" w:rsidP="003D15C8">
      <w:pPr>
        <w:spacing w:after="0"/>
      </w:pPr>
      <w:r>
        <w:t>För att ö</w:t>
      </w:r>
      <w:r w:rsidRPr="00520F1B">
        <w:t>ka informationssäkerhet</w:t>
      </w:r>
      <w:r>
        <w:t>en</w:t>
      </w:r>
      <w:r w:rsidRPr="00520F1B">
        <w:t xml:space="preserve"> </w:t>
      </w:r>
      <w:r>
        <w:t xml:space="preserve">har en anpassning </w:t>
      </w:r>
      <w:r w:rsidR="00334C5D">
        <w:t xml:space="preserve">beställts av behörighetsstyrning </w:t>
      </w:r>
      <w:r w:rsidR="00334C5D" w:rsidRPr="00520F1B">
        <w:t xml:space="preserve">i </w:t>
      </w:r>
      <w:r w:rsidR="00334C5D">
        <w:t>webSesam</w:t>
      </w:r>
      <w:r w:rsidR="00C60320">
        <w:t>.</w:t>
      </w:r>
      <w:r>
        <w:t xml:space="preserve"> </w:t>
      </w:r>
    </w:p>
    <w:p w:rsidR="00265097" w:rsidRDefault="00265097" w:rsidP="003D15C8">
      <w:pPr>
        <w:spacing w:after="0"/>
      </w:pPr>
    </w:p>
    <w:p w:rsidR="00265097" w:rsidRDefault="001F5A2D" w:rsidP="003D15C8">
      <w:pPr>
        <w:spacing w:after="0"/>
      </w:pPr>
      <w:r>
        <w:t xml:space="preserve">Tvingande fält på leveransadress har införts och hjälptexter för förskrivning i webSesam har tagits fram. </w:t>
      </w:r>
      <w:r w:rsidR="00750471">
        <w:br/>
      </w:r>
    </w:p>
    <w:p w:rsidR="001F5A2D" w:rsidRDefault="001F5A2D" w:rsidP="003D15C8">
      <w:pPr>
        <w:pStyle w:val="Brdtext"/>
        <w:spacing w:line="276" w:lineRule="auto"/>
      </w:pPr>
      <w:r>
        <w:t>Ett arbete med regelverk och arbetssätt kring perukförskrivning har startats</w:t>
      </w:r>
      <w:r w:rsidR="0035735B">
        <w:t xml:space="preserve"> som en följd av avvikelser</w:t>
      </w:r>
      <w:r>
        <w:t>.</w:t>
      </w:r>
    </w:p>
    <w:p w:rsidR="001F5A2D" w:rsidRDefault="005E430B" w:rsidP="003D15C8">
      <w:pPr>
        <w:spacing w:after="240"/>
        <w:rPr>
          <w:color w:val="000000" w:themeColor="text1"/>
        </w:rPr>
      </w:pPr>
      <w:r w:rsidRPr="005E430B">
        <w:rPr>
          <w:color w:val="000000" w:themeColor="text1"/>
        </w:rPr>
        <w:t>Inventering av kompetensbehov</w:t>
      </w:r>
      <w:r>
        <w:rPr>
          <w:color w:val="000000" w:themeColor="text1"/>
        </w:rPr>
        <w:t xml:space="preserve"> hos förskrivare </w:t>
      </w:r>
      <w:r w:rsidRPr="005E430B">
        <w:rPr>
          <w:color w:val="000000" w:themeColor="text1"/>
        </w:rPr>
        <w:t xml:space="preserve">gällande </w:t>
      </w:r>
      <w:r>
        <w:rPr>
          <w:color w:val="000000" w:themeColor="text1"/>
        </w:rPr>
        <w:t xml:space="preserve">vård vid </w:t>
      </w:r>
      <w:r w:rsidRPr="005E430B">
        <w:rPr>
          <w:color w:val="000000" w:themeColor="text1"/>
        </w:rPr>
        <w:t xml:space="preserve">blåsdysfunktion/inkontinens ska genomföras med åtföljande </w:t>
      </w:r>
      <w:r w:rsidR="00043C66">
        <w:rPr>
          <w:color w:val="000000" w:themeColor="text1"/>
        </w:rPr>
        <w:t>arbete för att e</w:t>
      </w:r>
      <w:r w:rsidRPr="005E430B">
        <w:rPr>
          <w:color w:val="000000" w:themeColor="text1"/>
        </w:rPr>
        <w:t>rforderliga utbildningar</w:t>
      </w:r>
      <w:r w:rsidR="00043C66">
        <w:rPr>
          <w:color w:val="000000" w:themeColor="text1"/>
        </w:rPr>
        <w:t xml:space="preserve"> anordnas</w:t>
      </w:r>
      <w:r w:rsidRPr="005E430B">
        <w:rPr>
          <w:color w:val="000000" w:themeColor="text1"/>
        </w:rPr>
        <w:t>.</w:t>
      </w:r>
    </w:p>
    <w:p w:rsidR="009810ED" w:rsidRDefault="009810ED" w:rsidP="003D15C8">
      <w:pPr>
        <w:spacing w:after="240"/>
        <w:rPr>
          <w:color w:val="000000" w:themeColor="text1"/>
        </w:rPr>
      </w:pPr>
      <w:r>
        <w:rPr>
          <w:color w:val="000000" w:themeColor="text1"/>
        </w:rPr>
        <w:t>En översyn av förskrivningar av två elrullstol</w:t>
      </w:r>
      <w:r w:rsidR="0035735B">
        <w:rPr>
          <w:color w:val="000000" w:themeColor="text1"/>
        </w:rPr>
        <w:t>ar</w:t>
      </w:r>
      <w:r>
        <w:rPr>
          <w:color w:val="000000" w:themeColor="text1"/>
        </w:rPr>
        <w:t xml:space="preserve">/motsvarande till samma patient har genomförts och regelverket har </w:t>
      </w:r>
      <w:r w:rsidR="00160C96">
        <w:rPr>
          <w:color w:val="000000" w:themeColor="text1"/>
        </w:rPr>
        <w:t>för</w:t>
      </w:r>
      <w:r>
        <w:rPr>
          <w:color w:val="000000" w:themeColor="text1"/>
        </w:rPr>
        <w:t>tydlig</w:t>
      </w:r>
      <w:r w:rsidR="00160C96">
        <w:rPr>
          <w:color w:val="000000" w:themeColor="text1"/>
        </w:rPr>
        <w:t>ats</w:t>
      </w:r>
      <w:r>
        <w:rPr>
          <w:color w:val="000000" w:themeColor="text1"/>
        </w:rPr>
        <w:t xml:space="preserve"> för att dubbelförskrivning inte ska förekomma annat än i särskilda fall.</w:t>
      </w:r>
    </w:p>
    <w:p w:rsidR="006E75EF" w:rsidRDefault="006E75EF" w:rsidP="003D15C8">
      <w:pPr>
        <w:spacing w:after="240"/>
        <w:rPr>
          <w:color w:val="000000" w:themeColor="text1"/>
        </w:rPr>
      </w:pPr>
      <w:r>
        <w:rPr>
          <w:color w:val="000000" w:themeColor="text1"/>
        </w:rPr>
        <w:t>Införandet av medicinska behandlingshjälpmedel fortgår.</w:t>
      </w:r>
    </w:p>
    <w:p w:rsidR="009B704D" w:rsidRDefault="009B704D" w:rsidP="00AE12A2">
      <w:pPr>
        <w:pStyle w:val="Rubrik2"/>
      </w:pPr>
      <w:r w:rsidRPr="00265097">
        <w:t>Samlad bedömning</w:t>
      </w:r>
      <w:r w:rsidR="00BE76CF" w:rsidRPr="00265097">
        <w:t xml:space="preserve"> </w:t>
      </w:r>
    </w:p>
    <w:p w:rsidR="00750471" w:rsidRDefault="00582C1D" w:rsidP="003D15C8">
      <w:pPr>
        <w:spacing w:after="0"/>
      </w:pPr>
      <w:r>
        <w:t>A</w:t>
      </w:r>
      <w:r w:rsidR="00265097" w:rsidRPr="00265097">
        <w:t xml:space="preserve">ntalet beställningar och utprovningar </w:t>
      </w:r>
      <w:r>
        <w:t xml:space="preserve">har </w:t>
      </w:r>
      <w:r w:rsidR="00265097" w:rsidRPr="00265097">
        <w:t xml:space="preserve">ökat. Tillgängligheten har förbättrats till utprovning och överträffar </w:t>
      </w:r>
      <w:r w:rsidR="007A57F8">
        <w:t xml:space="preserve">liksom tidigare </w:t>
      </w:r>
      <w:r w:rsidR="00265097" w:rsidRPr="00265097">
        <w:t>målet gäl</w:t>
      </w:r>
      <w:r w:rsidR="00265097">
        <w:t>lande logistik och service/repa</w:t>
      </w:r>
      <w:r w:rsidR="00265097" w:rsidRPr="00265097">
        <w:t>rationer</w:t>
      </w:r>
      <w:r w:rsidR="00265097">
        <w:t xml:space="preserve">. </w:t>
      </w:r>
    </w:p>
    <w:p w:rsidR="00043C66" w:rsidRDefault="00043C66" w:rsidP="003D15C8">
      <w:pPr>
        <w:spacing w:after="0"/>
      </w:pPr>
    </w:p>
    <w:p w:rsidR="00A0109B" w:rsidRDefault="00582C1D" w:rsidP="00043C66">
      <w:pPr>
        <w:spacing w:after="0"/>
      </w:pPr>
      <w:r>
        <w:t xml:space="preserve">Flera processförbättringar har genomförts till gagn för både förskrivare och interna processer. Införandet av medicinska behandlingshjälpmedel har skett enligt plan. </w:t>
      </w:r>
      <w:r w:rsidR="00750471">
        <w:t>Patientsäkerhet</w:t>
      </w:r>
      <w:r w:rsidR="003D15C8">
        <w:t>sarbetet går framåt.</w:t>
      </w:r>
      <w:r w:rsidR="00AE12A2">
        <w:t xml:space="preserve"> </w:t>
      </w:r>
    </w:p>
    <w:p w:rsidR="00043C66" w:rsidRDefault="00043C66" w:rsidP="00043C66">
      <w:pPr>
        <w:spacing w:after="0"/>
      </w:pPr>
    </w:p>
    <w:p w:rsidR="00043C66" w:rsidRDefault="00043C66">
      <w:pPr>
        <w:spacing w:after="0" w:line="240" w:lineRule="auto"/>
      </w:pPr>
      <w:r>
        <w:br w:type="page"/>
      </w:r>
    </w:p>
    <w:p w:rsidR="009B704D" w:rsidRDefault="009B704D" w:rsidP="00101A86">
      <w:pPr>
        <w:pStyle w:val="Rubrik1"/>
      </w:pPr>
      <w:r w:rsidRPr="00B917B7">
        <w:lastRenderedPageBreak/>
        <w:t>Medarbetarperspektiv</w:t>
      </w:r>
    </w:p>
    <w:p w:rsidR="009B704D" w:rsidRDefault="009B704D" w:rsidP="009B704D">
      <w:pPr>
        <w:pStyle w:val="Rubrik2"/>
      </w:pPr>
      <w:r>
        <w:t>Perspektivets processmål och löpande uppföljning omfattar följande indikatorer:</w:t>
      </w:r>
    </w:p>
    <w:p w:rsidR="009B704D" w:rsidRDefault="009B704D" w:rsidP="009B704D">
      <w:pPr>
        <w:pStyle w:val="Brdtext"/>
        <w:rPr>
          <w:i/>
          <w:color w:val="A6A6A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3929"/>
        <w:gridCol w:w="1091"/>
        <w:gridCol w:w="1343"/>
        <w:gridCol w:w="1013"/>
      </w:tblGrid>
      <w:tr w:rsidR="009B704D" w:rsidRPr="00AE12A2" w:rsidTr="00AE12A2">
        <w:tc>
          <w:tcPr>
            <w:tcW w:w="0" w:type="auto"/>
            <w:tcBorders>
              <w:bottom w:val="single" w:sz="4" w:space="0" w:color="auto"/>
            </w:tcBorders>
            <w:shd w:val="clear" w:color="auto" w:fill="B4C6E7" w:themeFill="accent5" w:themeFillTint="66"/>
          </w:tcPr>
          <w:p w:rsidR="009B704D" w:rsidRPr="00AE12A2" w:rsidRDefault="00887FE5" w:rsidP="000C6D52">
            <w:pPr>
              <w:pStyle w:val="Brdtext"/>
              <w:rPr>
                <w:b/>
              </w:rPr>
            </w:pPr>
            <w:r w:rsidRPr="00AE12A2">
              <w:rPr>
                <w:b/>
              </w:rPr>
              <w:br w:type="page"/>
            </w:r>
            <w:r w:rsidR="009B704D" w:rsidRPr="00AE12A2">
              <w:rPr>
                <w:b/>
              </w:rPr>
              <w:t>Mål</w:t>
            </w:r>
          </w:p>
        </w:tc>
        <w:tc>
          <w:tcPr>
            <w:tcW w:w="3929" w:type="dxa"/>
            <w:tcBorders>
              <w:bottom w:val="single" w:sz="4" w:space="0" w:color="auto"/>
            </w:tcBorders>
            <w:shd w:val="clear" w:color="auto" w:fill="B4C6E7" w:themeFill="accent5" w:themeFillTint="66"/>
          </w:tcPr>
          <w:p w:rsidR="009B704D" w:rsidRPr="00AE12A2" w:rsidRDefault="009B704D" w:rsidP="000C6D52">
            <w:pPr>
              <w:pStyle w:val="Brdtext"/>
              <w:rPr>
                <w:b/>
              </w:rPr>
            </w:pPr>
            <w:r w:rsidRPr="00AE12A2">
              <w:rPr>
                <w:b/>
              </w:rPr>
              <w:t>Indikator</w:t>
            </w:r>
          </w:p>
        </w:tc>
        <w:tc>
          <w:tcPr>
            <w:tcW w:w="1091" w:type="dxa"/>
            <w:tcBorders>
              <w:bottom w:val="single" w:sz="4" w:space="0" w:color="auto"/>
            </w:tcBorders>
            <w:shd w:val="clear" w:color="auto" w:fill="B4C6E7" w:themeFill="accent5" w:themeFillTint="66"/>
          </w:tcPr>
          <w:p w:rsidR="009B704D" w:rsidRPr="00AE12A2" w:rsidRDefault="009B704D" w:rsidP="000C6D52">
            <w:pPr>
              <w:pStyle w:val="Brdtext"/>
              <w:rPr>
                <w:b/>
              </w:rPr>
            </w:pPr>
            <w:r w:rsidRPr="00AE12A2">
              <w:rPr>
                <w:b/>
              </w:rPr>
              <w:t>Målvärde 2017</w:t>
            </w:r>
          </w:p>
        </w:tc>
        <w:tc>
          <w:tcPr>
            <w:tcW w:w="0" w:type="auto"/>
            <w:tcBorders>
              <w:bottom w:val="single" w:sz="4" w:space="0" w:color="auto"/>
            </w:tcBorders>
            <w:shd w:val="clear" w:color="auto" w:fill="B4C6E7" w:themeFill="accent5" w:themeFillTint="66"/>
          </w:tcPr>
          <w:p w:rsidR="009B704D" w:rsidRPr="00AE12A2" w:rsidRDefault="009B704D" w:rsidP="000C6D52">
            <w:pPr>
              <w:pStyle w:val="Brdtext"/>
              <w:rPr>
                <w:b/>
              </w:rPr>
            </w:pPr>
            <w:r w:rsidRPr="00AE12A2">
              <w:rPr>
                <w:b/>
              </w:rPr>
              <w:t xml:space="preserve">Rapporteras </w:t>
            </w:r>
          </w:p>
        </w:tc>
        <w:tc>
          <w:tcPr>
            <w:tcW w:w="0" w:type="auto"/>
            <w:tcBorders>
              <w:bottom w:val="single" w:sz="4" w:space="0" w:color="auto"/>
            </w:tcBorders>
            <w:shd w:val="clear" w:color="auto" w:fill="B4C6E7" w:themeFill="accent5" w:themeFillTint="66"/>
          </w:tcPr>
          <w:p w:rsidR="009B704D" w:rsidRPr="00AE12A2" w:rsidRDefault="009B704D" w:rsidP="000C6D52">
            <w:pPr>
              <w:pStyle w:val="Brdtext"/>
              <w:rPr>
                <w:b/>
                <w:i/>
                <w:color w:val="A6A6A6"/>
              </w:rPr>
            </w:pPr>
            <w:r w:rsidRPr="00AE12A2">
              <w:rPr>
                <w:b/>
              </w:rPr>
              <w:t>Utfall 2017</w:t>
            </w:r>
          </w:p>
        </w:tc>
      </w:tr>
      <w:tr w:rsidR="009B704D" w:rsidRPr="006B1E06" w:rsidTr="001D3FCC">
        <w:trPr>
          <w:trHeight w:val="567"/>
        </w:trPr>
        <w:tc>
          <w:tcPr>
            <w:tcW w:w="0" w:type="auto"/>
            <w:shd w:val="clear" w:color="auto" w:fill="auto"/>
          </w:tcPr>
          <w:p w:rsidR="009B704D" w:rsidRPr="006B1E06" w:rsidRDefault="009B704D" w:rsidP="000C6D52">
            <w:pPr>
              <w:pStyle w:val="Tabelltext"/>
              <w:rPr>
                <w:sz w:val="18"/>
                <w:szCs w:val="18"/>
              </w:rPr>
            </w:pPr>
            <w:r>
              <w:rPr>
                <w:sz w:val="18"/>
                <w:szCs w:val="18"/>
              </w:rPr>
              <w:t xml:space="preserve">HMC </w:t>
            </w:r>
            <w:r w:rsidRPr="006B1E06">
              <w:rPr>
                <w:sz w:val="18"/>
                <w:szCs w:val="18"/>
              </w:rPr>
              <w:t>ska vara en attraktiv arbetsgivare</w:t>
            </w:r>
          </w:p>
        </w:tc>
        <w:tc>
          <w:tcPr>
            <w:tcW w:w="3929" w:type="dxa"/>
            <w:shd w:val="clear" w:color="auto" w:fill="auto"/>
          </w:tcPr>
          <w:p w:rsidR="009B704D" w:rsidRPr="006B1E06" w:rsidRDefault="009B704D" w:rsidP="000C6D52">
            <w:pPr>
              <w:pStyle w:val="Tabelltext"/>
              <w:rPr>
                <w:sz w:val="18"/>
                <w:szCs w:val="18"/>
              </w:rPr>
            </w:pPr>
            <w:r w:rsidRPr="006B1E06">
              <w:rPr>
                <w:sz w:val="18"/>
                <w:szCs w:val="18"/>
              </w:rPr>
              <w:t>Nöjd medarbetarindex</w:t>
            </w:r>
          </w:p>
        </w:tc>
        <w:tc>
          <w:tcPr>
            <w:tcW w:w="1091" w:type="dxa"/>
            <w:shd w:val="clear" w:color="auto" w:fill="auto"/>
          </w:tcPr>
          <w:p w:rsidR="009B704D" w:rsidRPr="006B1E06" w:rsidRDefault="009B704D" w:rsidP="000C6D52">
            <w:pPr>
              <w:pStyle w:val="Tabelltext"/>
              <w:rPr>
                <w:sz w:val="18"/>
                <w:szCs w:val="18"/>
                <w:u w:val="single"/>
              </w:rPr>
            </w:pPr>
            <w:r w:rsidRPr="006B1E06">
              <w:rPr>
                <w:sz w:val="18"/>
                <w:szCs w:val="18"/>
                <w:u w:val="single"/>
              </w:rPr>
              <w:t>&gt;</w:t>
            </w:r>
            <w:r w:rsidRPr="006B1E06">
              <w:rPr>
                <w:sz w:val="18"/>
                <w:szCs w:val="18"/>
              </w:rPr>
              <w:t>78%</w:t>
            </w:r>
          </w:p>
        </w:tc>
        <w:tc>
          <w:tcPr>
            <w:tcW w:w="0" w:type="auto"/>
            <w:shd w:val="clear" w:color="auto" w:fill="auto"/>
          </w:tcPr>
          <w:p w:rsidR="009B704D" w:rsidRPr="006B1E06" w:rsidRDefault="009B704D" w:rsidP="000C6D52">
            <w:pPr>
              <w:pStyle w:val="Tabelltext"/>
              <w:rPr>
                <w:sz w:val="18"/>
                <w:szCs w:val="18"/>
              </w:rPr>
            </w:pPr>
            <w:r w:rsidRPr="006B1E06">
              <w:rPr>
                <w:sz w:val="18"/>
                <w:szCs w:val="18"/>
              </w:rPr>
              <w:t>Å</w:t>
            </w:r>
          </w:p>
        </w:tc>
        <w:tc>
          <w:tcPr>
            <w:tcW w:w="0" w:type="auto"/>
            <w:shd w:val="clear" w:color="auto" w:fill="BFBFBF"/>
          </w:tcPr>
          <w:p w:rsidR="009B704D" w:rsidRPr="001005C4" w:rsidRDefault="009B704D" w:rsidP="000C6D52">
            <w:pPr>
              <w:pStyle w:val="Tabelltext"/>
              <w:rPr>
                <w:i/>
                <w:sz w:val="18"/>
                <w:szCs w:val="18"/>
              </w:rPr>
            </w:pPr>
          </w:p>
        </w:tc>
      </w:tr>
      <w:tr w:rsidR="009B704D" w:rsidRPr="006B1E06" w:rsidTr="001D3FCC">
        <w:trPr>
          <w:trHeight w:val="567"/>
        </w:trPr>
        <w:tc>
          <w:tcPr>
            <w:tcW w:w="0" w:type="auto"/>
            <w:shd w:val="clear" w:color="auto" w:fill="auto"/>
          </w:tcPr>
          <w:p w:rsidR="009B704D" w:rsidRPr="006B1E06" w:rsidRDefault="009B704D" w:rsidP="000C6D52">
            <w:pPr>
              <w:pStyle w:val="Tabelltext"/>
              <w:spacing w:line="480" w:lineRule="auto"/>
              <w:jc w:val="center"/>
              <w:rPr>
                <w:sz w:val="18"/>
                <w:szCs w:val="18"/>
              </w:rPr>
            </w:pPr>
            <w:r>
              <w:rPr>
                <w:sz w:val="18"/>
                <w:szCs w:val="18"/>
              </w:rPr>
              <w:t>”</w:t>
            </w:r>
          </w:p>
        </w:tc>
        <w:tc>
          <w:tcPr>
            <w:tcW w:w="3929" w:type="dxa"/>
            <w:shd w:val="clear" w:color="auto" w:fill="auto"/>
          </w:tcPr>
          <w:p w:rsidR="009B704D" w:rsidRPr="006B1E06" w:rsidRDefault="009B704D" w:rsidP="000C6D52">
            <w:pPr>
              <w:pStyle w:val="Tabelltext"/>
              <w:rPr>
                <w:sz w:val="18"/>
                <w:szCs w:val="18"/>
              </w:rPr>
            </w:pPr>
            <w:r w:rsidRPr="006B1E06">
              <w:rPr>
                <w:sz w:val="18"/>
                <w:szCs w:val="18"/>
              </w:rPr>
              <w:t>Sjukfrånvaro</w:t>
            </w:r>
          </w:p>
        </w:tc>
        <w:tc>
          <w:tcPr>
            <w:tcW w:w="1091" w:type="dxa"/>
            <w:shd w:val="clear" w:color="auto" w:fill="auto"/>
          </w:tcPr>
          <w:p w:rsidR="009B704D" w:rsidRPr="006B1E06" w:rsidRDefault="009B704D" w:rsidP="000C6D52">
            <w:pPr>
              <w:pStyle w:val="Tabelltext"/>
              <w:rPr>
                <w:sz w:val="18"/>
                <w:szCs w:val="18"/>
              </w:rPr>
            </w:pPr>
            <w:r w:rsidRPr="006B1E06">
              <w:rPr>
                <w:sz w:val="18"/>
                <w:szCs w:val="18"/>
                <w:u w:val="single"/>
              </w:rPr>
              <w:t>&lt;</w:t>
            </w:r>
            <w:r w:rsidRPr="006B1E06">
              <w:rPr>
                <w:sz w:val="18"/>
                <w:szCs w:val="18"/>
              </w:rPr>
              <w:t>6%</w:t>
            </w:r>
          </w:p>
        </w:tc>
        <w:tc>
          <w:tcPr>
            <w:tcW w:w="0" w:type="auto"/>
            <w:shd w:val="clear" w:color="auto" w:fill="auto"/>
          </w:tcPr>
          <w:p w:rsidR="009B704D" w:rsidRPr="006B1E06" w:rsidRDefault="009B704D" w:rsidP="000C6D52">
            <w:pPr>
              <w:pStyle w:val="Tabelltext"/>
              <w:rPr>
                <w:sz w:val="18"/>
                <w:szCs w:val="18"/>
              </w:rPr>
            </w:pPr>
            <w:r w:rsidRPr="006B1E06">
              <w:rPr>
                <w:sz w:val="18"/>
                <w:szCs w:val="18"/>
              </w:rPr>
              <w:t>D/Å</w:t>
            </w:r>
          </w:p>
        </w:tc>
        <w:tc>
          <w:tcPr>
            <w:tcW w:w="0" w:type="auto"/>
            <w:shd w:val="clear" w:color="auto" w:fill="auto"/>
          </w:tcPr>
          <w:p w:rsidR="009B704D" w:rsidRPr="00EB2495" w:rsidRDefault="00EB2495" w:rsidP="000C6D52">
            <w:pPr>
              <w:pStyle w:val="Tabelltext"/>
              <w:rPr>
                <w:color w:val="A6A6A6"/>
                <w:sz w:val="18"/>
                <w:szCs w:val="18"/>
              </w:rPr>
            </w:pPr>
            <w:r w:rsidRPr="00EB2495">
              <w:rPr>
                <w:sz w:val="18"/>
                <w:szCs w:val="18"/>
              </w:rPr>
              <w:t>5,2</w:t>
            </w:r>
            <w:r>
              <w:rPr>
                <w:sz w:val="18"/>
                <w:szCs w:val="18"/>
              </w:rPr>
              <w:t xml:space="preserve"> %</w:t>
            </w:r>
          </w:p>
        </w:tc>
      </w:tr>
      <w:tr w:rsidR="009B704D" w:rsidRPr="006B1E06" w:rsidTr="001D3FCC">
        <w:trPr>
          <w:trHeight w:val="567"/>
        </w:trPr>
        <w:tc>
          <w:tcPr>
            <w:tcW w:w="0" w:type="auto"/>
            <w:shd w:val="clear" w:color="auto" w:fill="auto"/>
          </w:tcPr>
          <w:p w:rsidR="009B704D" w:rsidRPr="006B1E06" w:rsidRDefault="009B704D" w:rsidP="000C6D52">
            <w:pPr>
              <w:pStyle w:val="Tabelltext"/>
              <w:rPr>
                <w:sz w:val="18"/>
                <w:szCs w:val="18"/>
              </w:rPr>
            </w:pPr>
            <w:r w:rsidRPr="006B1E06">
              <w:rPr>
                <w:sz w:val="18"/>
                <w:szCs w:val="18"/>
              </w:rPr>
              <w:t>Löpande uppföljning</w:t>
            </w:r>
          </w:p>
        </w:tc>
        <w:tc>
          <w:tcPr>
            <w:tcW w:w="3929" w:type="dxa"/>
            <w:shd w:val="clear" w:color="auto" w:fill="auto"/>
          </w:tcPr>
          <w:p w:rsidR="00BE76CF" w:rsidRPr="00781D90" w:rsidRDefault="00BE76CF" w:rsidP="00781D90">
            <w:pPr>
              <w:pStyle w:val="Tabelltext"/>
              <w:numPr>
                <w:ilvl w:val="0"/>
                <w:numId w:val="17"/>
              </w:numPr>
              <w:rPr>
                <w:sz w:val="18"/>
                <w:szCs w:val="18"/>
              </w:rPr>
            </w:pPr>
            <w:r w:rsidRPr="00781D90">
              <w:rPr>
                <w:sz w:val="18"/>
                <w:szCs w:val="18"/>
              </w:rPr>
              <w:t>Sjukfrånvaro</w:t>
            </w:r>
          </w:p>
          <w:p w:rsidR="00BE76CF" w:rsidRPr="00781D90" w:rsidRDefault="00BE76CF" w:rsidP="00781D90">
            <w:pPr>
              <w:pStyle w:val="Tabelltext"/>
              <w:numPr>
                <w:ilvl w:val="0"/>
                <w:numId w:val="17"/>
              </w:numPr>
              <w:rPr>
                <w:sz w:val="18"/>
                <w:szCs w:val="18"/>
              </w:rPr>
            </w:pPr>
            <w:r w:rsidRPr="00781D90">
              <w:rPr>
                <w:sz w:val="18"/>
                <w:szCs w:val="18"/>
              </w:rPr>
              <w:t>Antal rehabiliteringsärenden</w:t>
            </w:r>
          </w:p>
          <w:p w:rsidR="00781D90" w:rsidRDefault="00BE76CF" w:rsidP="00781D90">
            <w:pPr>
              <w:pStyle w:val="Tabelltext"/>
              <w:numPr>
                <w:ilvl w:val="0"/>
                <w:numId w:val="17"/>
              </w:numPr>
              <w:rPr>
                <w:sz w:val="18"/>
                <w:szCs w:val="18"/>
              </w:rPr>
            </w:pPr>
            <w:r w:rsidRPr="00781D90">
              <w:rPr>
                <w:sz w:val="18"/>
                <w:szCs w:val="18"/>
              </w:rPr>
              <w:t>Antal arbetsmiljöavvikelser totalt</w:t>
            </w:r>
          </w:p>
          <w:p w:rsidR="009B704D" w:rsidRPr="00781D90" w:rsidRDefault="00BE76CF" w:rsidP="00781D90">
            <w:pPr>
              <w:pStyle w:val="Tabelltext"/>
              <w:numPr>
                <w:ilvl w:val="0"/>
                <w:numId w:val="17"/>
              </w:numPr>
              <w:rPr>
                <w:sz w:val="18"/>
                <w:szCs w:val="18"/>
              </w:rPr>
            </w:pPr>
            <w:r w:rsidRPr="00781D90">
              <w:rPr>
                <w:sz w:val="18"/>
                <w:szCs w:val="18"/>
              </w:rPr>
              <w:t>Antal specifika arbetsmiljöavvikelser</w:t>
            </w:r>
            <w:r w:rsidRPr="00BE76CF">
              <w:t xml:space="preserve"> </w:t>
            </w:r>
          </w:p>
        </w:tc>
        <w:tc>
          <w:tcPr>
            <w:tcW w:w="1091" w:type="dxa"/>
            <w:shd w:val="clear" w:color="auto" w:fill="auto"/>
          </w:tcPr>
          <w:p w:rsidR="009B704D" w:rsidRPr="006B1E06" w:rsidRDefault="009B704D" w:rsidP="000C6D52">
            <w:pPr>
              <w:pStyle w:val="Tabelltext"/>
              <w:rPr>
                <w:sz w:val="18"/>
                <w:szCs w:val="18"/>
              </w:rPr>
            </w:pPr>
          </w:p>
        </w:tc>
        <w:tc>
          <w:tcPr>
            <w:tcW w:w="0" w:type="auto"/>
            <w:shd w:val="clear" w:color="auto" w:fill="auto"/>
          </w:tcPr>
          <w:p w:rsidR="009B704D" w:rsidRPr="006B1E06" w:rsidRDefault="009B704D" w:rsidP="000C6D52">
            <w:pPr>
              <w:pStyle w:val="Tabelltext"/>
              <w:rPr>
                <w:sz w:val="18"/>
                <w:szCs w:val="18"/>
              </w:rPr>
            </w:pPr>
            <w:r w:rsidRPr="006B1E06">
              <w:rPr>
                <w:sz w:val="18"/>
                <w:szCs w:val="18"/>
              </w:rPr>
              <w:t>D/Å</w:t>
            </w:r>
          </w:p>
          <w:p w:rsidR="009B704D" w:rsidRPr="006B1E06" w:rsidRDefault="009B704D" w:rsidP="000C6D52">
            <w:pPr>
              <w:pStyle w:val="Tabelltext"/>
              <w:rPr>
                <w:sz w:val="18"/>
                <w:szCs w:val="18"/>
              </w:rPr>
            </w:pPr>
          </w:p>
        </w:tc>
        <w:tc>
          <w:tcPr>
            <w:tcW w:w="0" w:type="auto"/>
            <w:shd w:val="clear" w:color="auto" w:fill="auto"/>
          </w:tcPr>
          <w:p w:rsidR="009B704D" w:rsidRPr="006B1E06" w:rsidRDefault="009B704D" w:rsidP="001D3FCC">
            <w:pPr>
              <w:pStyle w:val="Tabelltext"/>
              <w:rPr>
                <w:sz w:val="18"/>
                <w:szCs w:val="18"/>
              </w:rPr>
            </w:pPr>
            <w:r w:rsidRPr="006B1E06">
              <w:rPr>
                <w:sz w:val="18"/>
                <w:szCs w:val="18"/>
              </w:rPr>
              <w:t xml:space="preserve">Se </w:t>
            </w:r>
            <w:r w:rsidR="001D3FCC">
              <w:rPr>
                <w:sz w:val="18"/>
                <w:szCs w:val="18"/>
              </w:rPr>
              <w:t>sid 12</w:t>
            </w:r>
          </w:p>
        </w:tc>
      </w:tr>
    </w:tbl>
    <w:p w:rsidR="009B704D" w:rsidRDefault="009B704D" w:rsidP="009B704D">
      <w:pPr>
        <w:pStyle w:val="Brdtext"/>
      </w:pPr>
    </w:p>
    <w:p w:rsidR="00BD0F01" w:rsidRPr="00750471" w:rsidRDefault="003D15C8" w:rsidP="003D15C8">
      <w:pPr>
        <w:pStyle w:val="Brdtext"/>
        <w:spacing w:after="0" w:line="276" w:lineRule="auto"/>
        <w:rPr>
          <w:rFonts w:eastAsia="Times New Roman" w:cs="Segoe UI"/>
          <w:lang w:eastAsia="sv-SE"/>
        </w:rPr>
      </w:pPr>
      <w:r>
        <w:rPr>
          <w:rFonts w:eastAsia="Times New Roman" w:cs="Segoe UI"/>
          <w:lang w:eastAsia="sv-SE"/>
        </w:rPr>
        <w:t>E</w:t>
      </w:r>
      <w:r w:rsidR="00E12EE7" w:rsidRPr="00750471">
        <w:rPr>
          <w:rFonts w:eastAsia="Times New Roman" w:cs="Segoe UI"/>
          <w:lang w:eastAsia="sv-SE"/>
        </w:rPr>
        <w:t>n f</w:t>
      </w:r>
      <w:r w:rsidR="00BD0F01" w:rsidRPr="00750471">
        <w:rPr>
          <w:rFonts w:eastAsia="Times New Roman" w:cs="Segoe UI"/>
          <w:lang w:eastAsia="sv-SE"/>
        </w:rPr>
        <w:t>ör</w:t>
      </w:r>
      <w:r w:rsidR="00E12EE7" w:rsidRPr="00750471">
        <w:rPr>
          <w:rFonts w:eastAsia="Times New Roman" w:cs="Segoe UI"/>
          <w:lang w:eastAsia="sv-SE"/>
        </w:rPr>
        <w:t>stärkning</w:t>
      </w:r>
      <w:r w:rsidR="00BD0F01" w:rsidRPr="00750471">
        <w:rPr>
          <w:rFonts w:eastAsia="Times New Roman" w:cs="Segoe UI"/>
          <w:lang w:eastAsia="sv-SE"/>
        </w:rPr>
        <w:t xml:space="preserve"> </w:t>
      </w:r>
      <w:r w:rsidR="00E12EE7" w:rsidRPr="00750471">
        <w:rPr>
          <w:rFonts w:eastAsia="Times New Roman" w:cs="Segoe UI"/>
          <w:lang w:eastAsia="sv-SE"/>
        </w:rPr>
        <w:t>av organisationen har genomförts</w:t>
      </w:r>
      <w:r w:rsidR="00BD0F01" w:rsidRPr="00750471">
        <w:rPr>
          <w:rFonts w:eastAsia="Times New Roman" w:cs="Segoe UI"/>
          <w:lang w:eastAsia="sv-SE"/>
        </w:rPr>
        <w:t xml:space="preserve"> för att stå rustad att möta </w:t>
      </w:r>
      <w:r w:rsidR="001D3FCC">
        <w:rPr>
          <w:rFonts w:eastAsia="Times New Roman" w:cs="Segoe UI"/>
          <w:lang w:eastAsia="sv-SE"/>
        </w:rPr>
        <w:t>h</w:t>
      </w:r>
      <w:r w:rsidR="00BD0F01" w:rsidRPr="00750471">
        <w:rPr>
          <w:rFonts w:eastAsia="Times New Roman" w:cs="Segoe UI"/>
          <w:lang w:eastAsia="sv-SE"/>
        </w:rPr>
        <w:t>jälpmedelsområdet</w:t>
      </w:r>
      <w:r w:rsidR="00750471">
        <w:rPr>
          <w:rFonts w:eastAsia="Times New Roman" w:cs="Segoe UI"/>
          <w:lang w:eastAsia="sv-SE"/>
        </w:rPr>
        <w:t>s</w:t>
      </w:r>
      <w:r w:rsidR="00BD0F01" w:rsidRPr="00750471">
        <w:rPr>
          <w:rFonts w:eastAsia="Times New Roman" w:cs="Segoe UI"/>
          <w:lang w:eastAsia="sv-SE"/>
        </w:rPr>
        <w:t xml:space="preserve"> </w:t>
      </w:r>
      <w:r w:rsidR="00750471">
        <w:rPr>
          <w:rFonts w:eastAsia="Times New Roman" w:cs="Segoe UI"/>
          <w:lang w:eastAsia="sv-SE"/>
        </w:rPr>
        <w:t xml:space="preserve">expansiva </w:t>
      </w:r>
      <w:r w:rsidR="00BD0F01" w:rsidRPr="00750471">
        <w:rPr>
          <w:rFonts w:eastAsia="Times New Roman" w:cs="Segoe UI"/>
          <w:lang w:eastAsia="sv-SE"/>
        </w:rPr>
        <w:t>utveckl</w:t>
      </w:r>
      <w:r w:rsidR="00750471">
        <w:rPr>
          <w:rFonts w:eastAsia="Times New Roman" w:cs="Segoe UI"/>
          <w:lang w:eastAsia="sv-SE"/>
        </w:rPr>
        <w:t>ing</w:t>
      </w:r>
      <w:r w:rsidR="00BD0F01" w:rsidRPr="00750471">
        <w:rPr>
          <w:rFonts w:eastAsia="Times New Roman" w:cs="Segoe UI"/>
          <w:lang w:eastAsia="sv-SE"/>
        </w:rPr>
        <w:t xml:space="preserve"> </w:t>
      </w:r>
      <w:r w:rsidR="001D3FCC">
        <w:rPr>
          <w:rFonts w:eastAsia="Times New Roman" w:cs="Segoe UI"/>
          <w:lang w:eastAsia="sv-SE"/>
        </w:rPr>
        <w:t xml:space="preserve">som </w:t>
      </w:r>
      <w:r w:rsidR="00BD0F01" w:rsidRPr="00750471">
        <w:rPr>
          <w:rFonts w:eastAsia="Times New Roman" w:cs="Segoe UI"/>
          <w:lang w:eastAsia="sv-SE"/>
        </w:rPr>
        <w:t>kr</w:t>
      </w:r>
      <w:r w:rsidR="001D3FCC">
        <w:rPr>
          <w:rFonts w:eastAsia="Times New Roman" w:cs="Segoe UI"/>
          <w:lang w:eastAsia="sv-SE"/>
        </w:rPr>
        <w:t>äver att</w:t>
      </w:r>
      <w:r w:rsidR="00BD0F01" w:rsidRPr="00750471">
        <w:rPr>
          <w:rFonts w:eastAsia="Times New Roman" w:cs="Segoe UI"/>
          <w:lang w:eastAsia="sv-SE"/>
        </w:rPr>
        <w:t xml:space="preserve"> verksamhet</w:t>
      </w:r>
      <w:r w:rsidR="00163E0E" w:rsidRPr="00750471">
        <w:rPr>
          <w:rFonts w:eastAsia="Times New Roman" w:cs="Segoe UI"/>
          <w:lang w:eastAsia="sv-SE"/>
        </w:rPr>
        <w:t xml:space="preserve">en </w:t>
      </w:r>
      <w:r w:rsidR="00BD0F01" w:rsidRPr="00750471">
        <w:rPr>
          <w:rFonts w:eastAsia="Times New Roman" w:cs="Segoe UI"/>
          <w:lang w:eastAsia="sv-SE"/>
        </w:rPr>
        <w:t>ha</w:t>
      </w:r>
      <w:r w:rsidR="001D3FCC">
        <w:rPr>
          <w:rFonts w:eastAsia="Times New Roman" w:cs="Segoe UI"/>
          <w:lang w:eastAsia="sv-SE"/>
        </w:rPr>
        <w:t>r</w:t>
      </w:r>
      <w:r w:rsidR="00BD0F01" w:rsidRPr="00750471">
        <w:rPr>
          <w:rFonts w:eastAsia="Times New Roman" w:cs="Segoe UI"/>
          <w:lang w:eastAsia="sv-SE"/>
        </w:rPr>
        <w:t xml:space="preserve"> förutsättningar </w:t>
      </w:r>
      <w:r>
        <w:rPr>
          <w:rFonts w:eastAsia="Times New Roman" w:cs="Segoe UI"/>
          <w:lang w:eastAsia="sv-SE"/>
        </w:rPr>
        <w:t xml:space="preserve">för </w:t>
      </w:r>
      <w:r w:rsidR="00BD0F01" w:rsidRPr="00750471">
        <w:rPr>
          <w:rFonts w:eastAsia="Times New Roman" w:cs="Segoe UI"/>
          <w:lang w:eastAsia="sv-SE"/>
        </w:rPr>
        <w:t>uppdrag</w:t>
      </w:r>
      <w:r w:rsidR="00750471">
        <w:rPr>
          <w:rFonts w:eastAsia="Times New Roman" w:cs="Segoe UI"/>
          <w:lang w:eastAsia="sv-SE"/>
        </w:rPr>
        <w:t>et</w:t>
      </w:r>
      <w:r w:rsidR="00BD0F01" w:rsidRPr="00750471">
        <w:rPr>
          <w:rFonts w:eastAsia="Times New Roman" w:cs="Segoe UI"/>
          <w:lang w:eastAsia="sv-SE"/>
        </w:rPr>
        <w:t xml:space="preserve"> </w:t>
      </w:r>
      <w:r w:rsidR="001D3FCC">
        <w:rPr>
          <w:rFonts w:eastAsia="Times New Roman" w:cs="Segoe UI"/>
          <w:lang w:eastAsia="sv-SE"/>
        </w:rPr>
        <w:t>med</w:t>
      </w:r>
      <w:r w:rsidR="00BD0F01" w:rsidRPr="00750471">
        <w:rPr>
          <w:rFonts w:eastAsia="Times New Roman" w:cs="Segoe UI"/>
          <w:lang w:eastAsia="sv-SE"/>
        </w:rPr>
        <w:t xml:space="preserve"> </w:t>
      </w:r>
      <w:r w:rsidR="00163E0E" w:rsidRPr="00750471">
        <w:rPr>
          <w:rFonts w:eastAsia="Times New Roman" w:cs="Segoe UI"/>
          <w:lang w:eastAsia="sv-SE"/>
        </w:rPr>
        <w:t>en b</w:t>
      </w:r>
      <w:r w:rsidR="007A57F8">
        <w:rPr>
          <w:rFonts w:eastAsia="Times New Roman" w:cs="Segoe UI"/>
          <w:lang w:eastAsia="sv-SE"/>
        </w:rPr>
        <w:t>ibehållen god</w:t>
      </w:r>
      <w:r w:rsidR="00163E0E" w:rsidRPr="00750471">
        <w:rPr>
          <w:rFonts w:eastAsia="Times New Roman" w:cs="Segoe UI"/>
          <w:lang w:eastAsia="sv-SE"/>
        </w:rPr>
        <w:t xml:space="preserve"> arbetsmiljö</w:t>
      </w:r>
      <w:r w:rsidR="00BD0F01" w:rsidRPr="00750471">
        <w:rPr>
          <w:rFonts w:eastAsia="Times New Roman" w:cs="Segoe UI"/>
          <w:lang w:eastAsia="sv-SE"/>
        </w:rPr>
        <w:t xml:space="preserve">. </w:t>
      </w:r>
      <w:r w:rsidR="00E12EE7" w:rsidRPr="00750471">
        <w:rPr>
          <w:rFonts w:eastAsia="Times New Roman" w:cs="Segoe UI"/>
          <w:lang w:eastAsia="sv-SE"/>
        </w:rPr>
        <w:t xml:space="preserve">Bemanning har förstärkts med </w:t>
      </w:r>
      <w:r w:rsidR="00264FD2">
        <w:rPr>
          <w:rFonts w:eastAsia="Times New Roman" w:cs="Segoe UI"/>
          <w:lang w:eastAsia="sv-SE"/>
        </w:rPr>
        <w:t xml:space="preserve">en </w:t>
      </w:r>
      <w:r w:rsidR="00E12EE7" w:rsidRPr="00750471">
        <w:rPr>
          <w:rFonts w:eastAsia="Times New Roman" w:cs="Segoe UI"/>
          <w:lang w:eastAsia="sv-SE"/>
        </w:rPr>
        <w:t>enhetschef</w:t>
      </w:r>
      <w:r w:rsidR="00264FD2">
        <w:rPr>
          <w:rFonts w:eastAsia="Times New Roman" w:cs="Segoe UI"/>
          <w:lang w:eastAsia="sv-SE"/>
        </w:rPr>
        <w:t>, en säkerhetssamordnare samt</w:t>
      </w:r>
      <w:r w:rsidR="00E12EE7" w:rsidRPr="00750471">
        <w:rPr>
          <w:rFonts w:eastAsia="Times New Roman" w:cs="Segoe UI"/>
          <w:lang w:eastAsia="sv-SE"/>
        </w:rPr>
        <w:t xml:space="preserve"> </w:t>
      </w:r>
      <w:r w:rsidR="00781D90">
        <w:rPr>
          <w:rFonts w:eastAsia="Times New Roman" w:cs="Segoe UI"/>
          <w:lang w:eastAsia="sv-SE"/>
        </w:rPr>
        <w:t xml:space="preserve">att </w:t>
      </w:r>
      <w:r w:rsidR="00750471">
        <w:rPr>
          <w:rFonts w:eastAsia="Times New Roman" w:cs="Segoe UI"/>
          <w:lang w:eastAsia="sv-SE"/>
        </w:rPr>
        <w:t xml:space="preserve">bemanningen har </w:t>
      </w:r>
      <w:r w:rsidR="00E12EE7" w:rsidRPr="00750471">
        <w:rPr>
          <w:rFonts w:eastAsia="Times New Roman" w:cs="Segoe UI"/>
          <w:lang w:eastAsia="sv-SE"/>
        </w:rPr>
        <w:t>utök</w:t>
      </w:r>
      <w:r w:rsidR="00750471">
        <w:rPr>
          <w:rFonts w:eastAsia="Times New Roman" w:cs="Segoe UI"/>
          <w:lang w:eastAsia="sv-SE"/>
        </w:rPr>
        <w:t>ats</w:t>
      </w:r>
      <w:r w:rsidR="00E12EE7" w:rsidRPr="00750471">
        <w:rPr>
          <w:rFonts w:eastAsia="Times New Roman" w:cs="Segoe UI"/>
          <w:lang w:eastAsia="sv-SE"/>
        </w:rPr>
        <w:t xml:space="preserve"> i flera enheter. </w:t>
      </w:r>
    </w:p>
    <w:p w:rsidR="003D15C8" w:rsidRDefault="00BD0F01" w:rsidP="003D15C8">
      <w:pPr>
        <w:pStyle w:val="Normalwebb"/>
        <w:spacing w:after="0" w:afterAutospacing="0" w:line="276" w:lineRule="auto"/>
        <w:rPr>
          <w:rFonts w:asciiTheme="minorHAnsi" w:hAnsiTheme="minorHAnsi"/>
          <w:sz w:val="22"/>
          <w:szCs w:val="22"/>
        </w:rPr>
      </w:pPr>
      <w:r w:rsidRPr="00BD0F01">
        <w:rPr>
          <w:rFonts w:asciiTheme="minorHAnsi" w:hAnsiTheme="minorHAnsi"/>
          <w:sz w:val="22"/>
          <w:szCs w:val="22"/>
        </w:rPr>
        <w:t>Förmågan att attrahera, rekrytera, utveckla, behålla samt avveckla kompetens är avgörande för kompetensförsörjningen</w:t>
      </w:r>
      <w:r w:rsidR="001D3FCC">
        <w:rPr>
          <w:rFonts w:asciiTheme="minorHAnsi" w:hAnsiTheme="minorHAnsi"/>
          <w:sz w:val="22"/>
          <w:szCs w:val="22"/>
        </w:rPr>
        <w:t xml:space="preserve"> och e</w:t>
      </w:r>
      <w:r>
        <w:rPr>
          <w:rFonts w:asciiTheme="minorHAnsi" w:hAnsiTheme="minorHAnsi"/>
          <w:sz w:val="22"/>
          <w:szCs w:val="22"/>
        </w:rPr>
        <w:t xml:space="preserve">n kompetensförsörjningsplan har utarbetats för </w:t>
      </w:r>
      <w:r w:rsidRPr="00BD0F01">
        <w:rPr>
          <w:rFonts w:asciiTheme="minorHAnsi" w:hAnsiTheme="minorHAnsi"/>
          <w:sz w:val="22"/>
          <w:szCs w:val="22"/>
        </w:rPr>
        <w:t xml:space="preserve">att analysera behov av kompetens på kort och lång sikt samt planera och genomföra insatser </w:t>
      </w:r>
      <w:r w:rsidR="001D3FCC">
        <w:rPr>
          <w:rFonts w:asciiTheme="minorHAnsi" w:hAnsiTheme="minorHAnsi"/>
          <w:sz w:val="22"/>
          <w:szCs w:val="22"/>
        </w:rPr>
        <w:t>för</w:t>
      </w:r>
      <w:r w:rsidRPr="00BD0F01">
        <w:rPr>
          <w:rFonts w:asciiTheme="minorHAnsi" w:hAnsiTheme="minorHAnsi"/>
          <w:sz w:val="22"/>
          <w:szCs w:val="22"/>
        </w:rPr>
        <w:t xml:space="preserve"> försörjningen av rätt kompetens. </w:t>
      </w:r>
      <w:r w:rsidR="001D3FCC">
        <w:rPr>
          <w:rFonts w:asciiTheme="minorHAnsi" w:hAnsiTheme="minorHAnsi"/>
          <w:sz w:val="22"/>
          <w:szCs w:val="22"/>
        </w:rPr>
        <w:t>Planen ger</w:t>
      </w:r>
      <w:r w:rsidRPr="00BD0F01">
        <w:rPr>
          <w:rFonts w:asciiTheme="minorHAnsi" w:hAnsiTheme="minorHAnsi"/>
          <w:sz w:val="22"/>
          <w:szCs w:val="22"/>
        </w:rPr>
        <w:t xml:space="preserve"> en övergripande bild </w:t>
      </w:r>
      <w:r w:rsidR="003D15C8">
        <w:rPr>
          <w:rFonts w:asciiTheme="minorHAnsi" w:hAnsiTheme="minorHAnsi"/>
          <w:sz w:val="22"/>
          <w:szCs w:val="22"/>
        </w:rPr>
        <w:t>om</w:t>
      </w:r>
      <w:r w:rsidRPr="00BD0F01">
        <w:rPr>
          <w:rFonts w:asciiTheme="minorHAnsi" w:hAnsiTheme="minorHAnsi"/>
          <w:sz w:val="22"/>
          <w:szCs w:val="22"/>
        </w:rPr>
        <w:t xml:space="preserve"> kompetensbehov och </w:t>
      </w:r>
      <w:r w:rsidR="001D3FCC">
        <w:rPr>
          <w:rFonts w:asciiTheme="minorHAnsi" w:hAnsiTheme="minorHAnsi"/>
          <w:sz w:val="22"/>
          <w:szCs w:val="22"/>
        </w:rPr>
        <w:t xml:space="preserve">utgör </w:t>
      </w:r>
      <w:r w:rsidRPr="00BD0F01">
        <w:rPr>
          <w:rFonts w:asciiTheme="minorHAnsi" w:hAnsiTheme="minorHAnsi"/>
          <w:sz w:val="22"/>
          <w:szCs w:val="22"/>
        </w:rPr>
        <w:t xml:space="preserve">beslutsunderlag för satsningar och prioriteringar inom personalområdet.  </w:t>
      </w:r>
    </w:p>
    <w:p w:rsidR="001D3FCC" w:rsidRDefault="001D3FCC" w:rsidP="003D15C8">
      <w:pPr>
        <w:pStyle w:val="Normalwebb"/>
        <w:spacing w:before="0" w:beforeAutospacing="0" w:after="0" w:afterAutospacing="0" w:line="276" w:lineRule="auto"/>
        <w:rPr>
          <w:rFonts w:asciiTheme="minorHAnsi" w:hAnsiTheme="minorHAnsi"/>
          <w:sz w:val="22"/>
          <w:szCs w:val="22"/>
        </w:rPr>
      </w:pPr>
      <w:r>
        <w:rPr>
          <w:rFonts w:asciiTheme="minorHAnsi" w:hAnsiTheme="minorHAnsi"/>
          <w:sz w:val="22"/>
          <w:szCs w:val="22"/>
        </w:rPr>
        <w:br/>
        <w:t>Hälsoteamet arbetar aktivt, u</w:t>
      </w:r>
      <w:r w:rsidR="003D15C8" w:rsidRPr="003D15C8">
        <w:rPr>
          <w:rFonts w:asciiTheme="minorHAnsi" w:hAnsiTheme="minorHAnsi"/>
          <w:sz w:val="22"/>
          <w:szCs w:val="22"/>
        </w:rPr>
        <w:t xml:space="preserve">ppföljning av hälsoläge har genomförts liksom </w:t>
      </w:r>
      <w:r>
        <w:rPr>
          <w:rFonts w:asciiTheme="minorHAnsi" w:hAnsiTheme="minorHAnsi"/>
          <w:sz w:val="22"/>
          <w:szCs w:val="22"/>
        </w:rPr>
        <w:t>systematisk arbetsmiljöarbete med bland annat skyddsrond</w:t>
      </w:r>
      <w:r w:rsidR="003D15C8" w:rsidRPr="003D15C8">
        <w:rPr>
          <w:rFonts w:asciiTheme="minorHAnsi" w:hAnsiTheme="minorHAnsi"/>
          <w:sz w:val="22"/>
          <w:szCs w:val="22"/>
        </w:rPr>
        <w:t>.</w:t>
      </w:r>
      <w:r>
        <w:rPr>
          <w:rFonts w:asciiTheme="minorHAnsi" w:hAnsiTheme="minorHAnsi"/>
          <w:sz w:val="22"/>
          <w:szCs w:val="22"/>
        </w:rPr>
        <w:t xml:space="preserve"> </w:t>
      </w:r>
      <w:r w:rsidRPr="003D15C8">
        <w:rPr>
          <w:rFonts w:asciiTheme="minorHAnsi" w:hAnsiTheme="minorHAnsi"/>
          <w:sz w:val="22"/>
          <w:szCs w:val="22"/>
        </w:rPr>
        <w:t>Medarbetarpolicyn har implementerats.</w:t>
      </w:r>
    </w:p>
    <w:p w:rsidR="001D3FCC" w:rsidRDefault="001D3FCC" w:rsidP="003D15C8">
      <w:pPr>
        <w:pStyle w:val="Normalwebb"/>
        <w:spacing w:before="0" w:beforeAutospacing="0" w:after="0" w:afterAutospacing="0" w:line="276" w:lineRule="auto"/>
        <w:rPr>
          <w:rFonts w:asciiTheme="minorHAnsi" w:hAnsiTheme="minorHAnsi"/>
          <w:sz w:val="22"/>
          <w:szCs w:val="22"/>
        </w:rPr>
      </w:pPr>
    </w:p>
    <w:p w:rsidR="00AA76D5" w:rsidRPr="003D15C8" w:rsidRDefault="003D15C8" w:rsidP="003D15C8">
      <w:pPr>
        <w:pStyle w:val="Normalwebb"/>
        <w:spacing w:before="0" w:beforeAutospacing="0" w:after="0" w:afterAutospacing="0" w:line="276" w:lineRule="auto"/>
        <w:rPr>
          <w:rFonts w:asciiTheme="minorHAnsi" w:hAnsiTheme="minorHAnsi"/>
          <w:b/>
          <w:sz w:val="22"/>
          <w:szCs w:val="22"/>
        </w:rPr>
      </w:pPr>
      <w:r w:rsidRPr="003D15C8">
        <w:rPr>
          <w:rFonts w:asciiTheme="minorHAnsi" w:hAnsiTheme="minorHAnsi"/>
          <w:sz w:val="22"/>
          <w:szCs w:val="22"/>
        </w:rPr>
        <w:t xml:space="preserve">Arbete för minskad sårbarhet, ökad arbetstillfredsställelse samt främjad samverkan har genomförts. </w:t>
      </w:r>
    </w:p>
    <w:p w:rsidR="001D3FCC" w:rsidRDefault="001D3FCC" w:rsidP="00887FE5">
      <w:pPr>
        <w:pStyle w:val="Brdtext"/>
        <w:rPr>
          <w:b/>
        </w:rPr>
      </w:pPr>
    </w:p>
    <w:p w:rsidR="001D3FCC" w:rsidRDefault="003A119A" w:rsidP="00887FE5">
      <w:pPr>
        <w:pStyle w:val="Brdtext"/>
        <w:rPr>
          <w:b/>
        </w:rPr>
      </w:pPr>
      <w:r>
        <w:t>Säkerhetssamordnaren har genomfört e</w:t>
      </w:r>
      <w:r w:rsidR="00264FD2">
        <w:t xml:space="preserve">n kartläggning av säkerheten </w:t>
      </w:r>
      <w:r>
        <w:t>som medfört att flera säkerhetshöjande åtgärder har påbörjats ex. brandskydd, förbättring av larm med mera.</w:t>
      </w:r>
    </w:p>
    <w:p w:rsidR="001D3FCC" w:rsidRDefault="001D3FCC" w:rsidP="00887FE5">
      <w:pPr>
        <w:pStyle w:val="Brdtext"/>
        <w:rPr>
          <w:b/>
        </w:rPr>
      </w:pPr>
    </w:p>
    <w:p w:rsidR="001D3FCC" w:rsidRDefault="001D3FCC" w:rsidP="00887FE5">
      <w:pPr>
        <w:pStyle w:val="Brdtext"/>
        <w:rPr>
          <w:b/>
        </w:rPr>
      </w:pPr>
    </w:p>
    <w:p w:rsidR="00A0109B" w:rsidRDefault="00A0109B" w:rsidP="00887FE5">
      <w:pPr>
        <w:pStyle w:val="Brdtext"/>
        <w:rPr>
          <w:b/>
        </w:rPr>
      </w:pPr>
    </w:p>
    <w:p w:rsidR="00A0109B" w:rsidRDefault="00A0109B" w:rsidP="00887FE5">
      <w:pPr>
        <w:pStyle w:val="Brdtext"/>
        <w:rPr>
          <w:b/>
        </w:rPr>
      </w:pPr>
    </w:p>
    <w:p w:rsidR="00A0109B" w:rsidRDefault="00A0109B" w:rsidP="00887FE5">
      <w:pPr>
        <w:pStyle w:val="Brdtext"/>
        <w:rPr>
          <w:b/>
        </w:rPr>
      </w:pPr>
    </w:p>
    <w:p w:rsidR="00887FE5" w:rsidRPr="00BD0F01" w:rsidRDefault="00887FE5" w:rsidP="00887FE5">
      <w:pPr>
        <w:pStyle w:val="Brdtext"/>
        <w:rPr>
          <w:b/>
        </w:rPr>
      </w:pPr>
      <w:r w:rsidRPr="00BD0F01">
        <w:rPr>
          <w:b/>
        </w:rPr>
        <w:lastRenderedPageBreak/>
        <w:t>Uppföljning av mått – periodens utfall liksom föregående år</w:t>
      </w:r>
    </w:p>
    <w:tbl>
      <w:tblPr>
        <w:tblW w:w="8221" w:type="dxa"/>
        <w:tblInd w:w="70" w:type="dxa"/>
        <w:shd w:val="clear" w:color="auto" w:fill="FFFFFF" w:themeFill="background1"/>
        <w:tblCellMar>
          <w:left w:w="70" w:type="dxa"/>
          <w:right w:w="70" w:type="dxa"/>
        </w:tblCellMar>
        <w:tblLook w:val="04A0" w:firstRow="1" w:lastRow="0" w:firstColumn="1" w:lastColumn="0" w:noHBand="0" w:noVBand="1"/>
      </w:tblPr>
      <w:tblGrid>
        <w:gridCol w:w="4253"/>
        <w:gridCol w:w="1984"/>
        <w:gridCol w:w="1984"/>
      </w:tblGrid>
      <w:tr w:rsidR="00BD0F01" w:rsidRPr="00BD0F01" w:rsidTr="003D15C8">
        <w:trPr>
          <w:trHeight w:val="300"/>
        </w:trPr>
        <w:tc>
          <w:tcPr>
            <w:tcW w:w="4253" w:type="dxa"/>
            <w:tcBorders>
              <w:top w:val="single" w:sz="4" w:space="0" w:color="auto"/>
            </w:tcBorders>
            <w:shd w:val="clear" w:color="auto" w:fill="FFFFFF" w:themeFill="background1"/>
            <w:noWrap/>
            <w:vAlign w:val="bottom"/>
            <w:hideMark/>
          </w:tcPr>
          <w:p w:rsidR="00BD0F01" w:rsidRPr="003D15C8" w:rsidRDefault="00BD0F01" w:rsidP="00BD0F01">
            <w:pPr>
              <w:spacing w:after="0" w:line="240" w:lineRule="auto"/>
              <w:rPr>
                <w:rFonts w:cs="Calibri"/>
                <w:b/>
                <w:bCs/>
                <w:sz w:val="20"/>
              </w:rPr>
            </w:pPr>
            <w:r w:rsidRPr="003D15C8">
              <w:rPr>
                <w:rFonts w:cs="Calibri"/>
                <w:b/>
                <w:bCs/>
                <w:sz w:val="20"/>
              </w:rPr>
              <w:t xml:space="preserve"> Ackumulerad sjukfrånvaro % </w:t>
            </w:r>
          </w:p>
        </w:tc>
        <w:tc>
          <w:tcPr>
            <w:tcW w:w="1984" w:type="dxa"/>
            <w:tcBorders>
              <w:top w:val="single" w:sz="4" w:space="0" w:color="auto"/>
            </w:tcBorders>
            <w:shd w:val="clear" w:color="auto" w:fill="FFFFFF" w:themeFill="background1"/>
            <w:vAlign w:val="bottom"/>
          </w:tcPr>
          <w:p w:rsidR="00BD0F01" w:rsidRPr="003D15C8" w:rsidRDefault="00BD0F01" w:rsidP="00BD0F01">
            <w:pPr>
              <w:spacing w:after="0" w:line="240" w:lineRule="auto"/>
              <w:jc w:val="center"/>
              <w:rPr>
                <w:rFonts w:cs="Calibri"/>
                <w:b/>
                <w:bCs/>
                <w:sz w:val="20"/>
              </w:rPr>
            </w:pPr>
            <w:r w:rsidRPr="003D15C8">
              <w:rPr>
                <w:rFonts w:cs="Calibri"/>
                <w:b/>
                <w:bCs/>
                <w:sz w:val="20"/>
              </w:rPr>
              <w:t>2016</w:t>
            </w:r>
          </w:p>
        </w:tc>
        <w:tc>
          <w:tcPr>
            <w:tcW w:w="1984" w:type="dxa"/>
            <w:tcBorders>
              <w:top w:val="single" w:sz="4" w:space="0" w:color="auto"/>
            </w:tcBorders>
            <w:shd w:val="clear" w:color="auto" w:fill="FFFFFF" w:themeFill="background1"/>
            <w:vAlign w:val="bottom"/>
          </w:tcPr>
          <w:p w:rsidR="00BD0F01" w:rsidRPr="003D15C8" w:rsidRDefault="00BD0F01" w:rsidP="00BD0F01">
            <w:pPr>
              <w:spacing w:after="0" w:line="240" w:lineRule="auto"/>
              <w:jc w:val="center"/>
              <w:rPr>
                <w:rFonts w:cs="Calibri"/>
                <w:b/>
                <w:bCs/>
                <w:sz w:val="20"/>
              </w:rPr>
            </w:pPr>
            <w:r w:rsidRPr="003D15C8">
              <w:rPr>
                <w:rFonts w:cs="Calibri"/>
                <w:b/>
                <w:bCs/>
                <w:sz w:val="20"/>
              </w:rPr>
              <w:t>2017</w:t>
            </w:r>
          </w:p>
        </w:tc>
      </w:tr>
      <w:tr w:rsidR="00BD0F01" w:rsidRPr="00BD0F01" w:rsidTr="003D15C8">
        <w:trPr>
          <w:trHeight w:val="285"/>
        </w:trPr>
        <w:tc>
          <w:tcPr>
            <w:tcW w:w="4253" w:type="dxa"/>
            <w:shd w:val="clear" w:color="auto" w:fill="FFFFFF" w:themeFill="background1"/>
            <w:noWrap/>
            <w:vAlign w:val="bottom"/>
            <w:hideMark/>
          </w:tcPr>
          <w:p w:rsidR="00BD0F01" w:rsidRPr="00BD0F01" w:rsidRDefault="00BD0F01" w:rsidP="00BD0F01">
            <w:pPr>
              <w:spacing w:after="0" w:line="240" w:lineRule="auto"/>
              <w:rPr>
                <w:rFonts w:cs="Calibri"/>
                <w:sz w:val="20"/>
              </w:rPr>
            </w:pPr>
            <w:r w:rsidRPr="00BD0F01">
              <w:rPr>
                <w:rFonts w:cs="Calibri"/>
                <w:sz w:val="20"/>
              </w:rPr>
              <w:t>Total sjukfrånvaro</w:t>
            </w:r>
          </w:p>
        </w:tc>
        <w:tc>
          <w:tcPr>
            <w:tcW w:w="1984" w:type="dxa"/>
            <w:shd w:val="clear" w:color="auto" w:fill="FFFFFF" w:themeFill="background1"/>
            <w:vAlign w:val="bottom"/>
          </w:tcPr>
          <w:p w:rsidR="00BD0F01" w:rsidRPr="00BD0F01" w:rsidRDefault="00BD0F01" w:rsidP="00BD0F01">
            <w:pPr>
              <w:spacing w:after="0" w:line="240" w:lineRule="auto"/>
              <w:jc w:val="center"/>
              <w:rPr>
                <w:rFonts w:cs="Calibri"/>
                <w:sz w:val="20"/>
              </w:rPr>
            </w:pPr>
            <w:r w:rsidRPr="00BD0F01">
              <w:rPr>
                <w:rFonts w:cs="Calibri"/>
                <w:sz w:val="20"/>
              </w:rPr>
              <w:t>7,3</w:t>
            </w:r>
          </w:p>
        </w:tc>
        <w:tc>
          <w:tcPr>
            <w:tcW w:w="1984" w:type="dxa"/>
            <w:shd w:val="clear" w:color="auto" w:fill="FFFFFF" w:themeFill="background1"/>
            <w:vAlign w:val="bottom"/>
          </w:tcPr>
          <w:p w:rsidR="00BD0F01" w:rsidRPr="00BD0F01" w:rsidRDefault="00EB2495" w:rsidP="00BD0F01">
            <w:pPr>
              <w:spacing w:after="0" w:line="240" w:lineRule="auto"/>
              <w:jc w:val="center"/>
              <w:rPr>
                <w:rFonts w:cs="Calibri"/>
                <w:sz w:val="20"/>
              </w:rPr>
            </w:pPr>
            <w:r>
              <w:rPr>
                <w:rFonts w:cs="Calibri"/>
                <w:sz w:val="20"/>
              </w:rPr>
              <w:t>5,2</w:t>
            </w:r>
          </w:p>
        </w:tc>
      </w:tr>
      <w:tr w:rsidR="00BD0F01" w:rsidRPr="00BD0F01" w:rsidTr="003D15C8">
        <w:trPr>
          <w:trHeight w:val="285"/>
        </w:trPr>
        <w:tc>
          <w:tcPr>
            <w:tcW w:w="4253" w:type="dxa"/>
            <w:shd w:val="clear" w:color="auto" w:fill="FFFFFF" w:themeFill="background1"/>
            <w:noWrap/>
            <w:vAlign w:val="bottom"/>
          </w:tcPr>
          <w:p w:rsidR="00BD0F01" w:rsidRPr="00BD0F01" w:rsidRDefault="00BD0F01" w:rsidP="00BD0F01">
            <w:pPr>
              <w:spacing w:after="0" w:line="240" w:lineRule="auto"/>
              <w:rPr>
                <w:rFonts w:cs="Calibri"/>
                <w:sz w:val="20"/>
              </w:rPr>
            </w:pPr>
            <w:r w:rsidRPr="00BD0F01">
              <w:rPr>
                <w:rFonts w:eastAsia="Times New Roman"/>
                <w:sz w:val="20"/>
                <w:szCs w:val="20"/>
                <w:lang w:eastAsia="sv-SE"/>
              </w:rPr>
              <w:t>varav korttidssjukfrånvaro, dag 1-14</w:t>
            </w:r>
          </w:p>
        </w:tc>
        <w:tc>
          <w:tcPr>
            <w:tcW w:w="1984" w:type="dxa"/>
            <w:shd w:val="clear" w:color="auto" w:fill="FFFFFF" w:themeFill="background1"/>
            <w:vAlign w:val="bottom"/>
          </w:tcPr>
          <w:p w:rsidR="00BD0F01" w:rsidRPr="00BD0F01" w:rsidRDefault="00BD0F01" w:rsidP="00BD0F01">
            <w:pPr>
              <w:spacing w:after="0" w:line="240" w:lineRule="auto"/>
              <w:jc w:val="center"/>
              <w:rPr>
                <w:rFonts w:cs="Calibri"/>
                <w:sz w:val="20"/>
              </w:rPr>
            </w:pPr>
            <w:r w:rsidRPr="00BD0F01">
              <w:rPr>
                <w:rFonts w:cs="Calibri"/>
                <w:sz w:val="20"/>
              </w:rPr>
              <w:t>2,4</w:t>
            </w:r>
          </w:p>
        </w:tc>
        <w:tc>
          <w:tcPr>
            <w:tcW w:w="1984" w:type="dxa"/>
            <w:shd w:val="clear" w:color="auto" w:fill="FFFFFF" w:themeFill="background1"/>
            <w:vAlign w:val="bottom"/>
          </w:tcPr>
          <w:p w:rsidR="00BD0F01" w:rsidRPr="00BD0F01" w:rsidRDefault="00EB2495" w:rsidP="00BD0F01">
            <w:pPr>
              <w:spacing w:after="0" w:line="240" w:lineRule="auto"/>
              <w:jc w:val="center"/>
              <w:rPr>
                <w:rFonts w:cs="Calibri"/>
                <w:sz w:val="20"/>
              </w:rPr>
            </w:pPr>
            <w:r>
              <w:rPr>
                <w:rFonts w:cs="Calibri"/>
                <w:sz w:val="20"/>
              </w:rPr>
              <w:t>2,2</w:t>
            </w:r>
          </w:p>
        </w:tc>
      </w:tr>
      <w:tr w:rsidR="00BD0F01" w:rsidRPr="00BD0F01" w:rsidTr="003D15C8">
        <w:trPr>
          <w:trHeight w:val="285"/>
        </w:trPr>
        <w:tc>
          <w:tcPr>
            <w:tcW w:w="4253" w:type="dxa"/>
            <w:shd w:val="clear" w:color="auto" w:fill="FFFFFF" w:themeFill="background1"/>
            <w:noWrap/>
            <w:vAlign w:val="bottom"/>
            <w:hideMark/>
          </w:tcPr>
          <w:p w:rsidR="00BD0F01" w:rsidRPr="00BD0F01" w:rsidRDefault="00BD0F01" w:rsidP="00BD0F01">
            <w:pPr>
              <w:spacing w:after="0" w:line="240" w:lineRule="auto"/>
              <w:rPr>
                <w:rFonts w:cs="Calibri"/>
                <w:sz w:val="20"/>
              </w:rPr>
            </w:pPr>
            <w:r w:rsidRPr="00BD0F01">
              <w:rPr>
                <w:rFonts w:cs="Calibri"/>
                <w:sz w:val="20"/>
              </w:rPr>
              <w:t>andel långtidsfrånvaro över 60 dagar</w:t>
            </w:r>
          </w:p>
        </w:tc>
        <w:tc>
          <w:tcPr>
            <w:tcW w:w="1984" w:type="dxa"/>
            <w:shd w:val="clear" w:color="auto" w:fill="FFFFFF" w:themeFill="background1"/>
            <w:vAlign w:val="bottom"/>
          </w:tcPr>
          <w:p w:rsidR="00BD0F01" w:rsidRPr="00BD0F01" w:rsidRDefault="00BD0F01" w:rsidP="00BD0F01">
            <w:pPr>
              <w:spacing w:after="0" w:line="240" w:lineRule="auto"/>
              <w:jc w:val="center"/>
              <w:rPr>
                <w:rFonts w:cs="Calibri"/>
                <w:sz w:val="20"/>
              </w:rPr>
            </w:pPr>
            <w:r w:rsidRPr="00BD0F01">
              <w:rPr>
                <w:rFonts w:cs="Calibri"/>
                <w:sz w:val="20"/>
              </w:rPr>
              <w:t>56,5</w:t>
            </w:r>
          </w:p>
        </w:tc>
        <w:tc>
          <w:tcPr>
            <w:tcW w:w="1984" w:type="dxa"/>
            <w:shd w:val="clear" w:color="auto" w:fill="FFFFFF" w:themeFill="background1"/>
            <w:vAlign w:val="bottom"/>
          </w:tcPr>
          <w:p w:rsidR="00BD0F01" w:rsidRPr="00BD0F01" w:rsidRDefault="00EB2495" w:rsidP="00BD0F01">
            <w:pPr>
              <w:spacing w:after="0" w:line="240" w:lineRule="auto"/>
              <w:jc w:val="center"/>
              <w:rPr>
                <w:rFonts w:cs="Calibri"/>
                <w:sz w:val="20"/>
              </w:rPr>
            </w:pPr>
            <w:r>
              <w:rPr>
                <w:rFonts w:cs="Calibri"/>
                <w:sz w:val="20"/>
              </w:rPr>
              <w:t>43,9</w:t>
            </w:r>
          </w:p>
        </w:tc>
      </w:tr>
      <w:tr w:rsidR="00BD0F01" w:rsidRPr="00BD0F01" w:rsidTr="003D15C8">
        <w:trPr>
          <w:trHeight w:val="285"/>
        </w:trPr>
        <w:tc>
          <w:tcPr>
            <w:tcW w:w="4253" w:type="dxa"/>
            <w:shd w:val="clear" w:color="auto" w:fill="FFFFFF" w:themeFill="background1"/>
            <w:noWrap/>
            <w:vAlign w:val="bottom"/>
            <w:hideMark/>
          </w:tcPr>
          <w:p w:rsidR="00BD0F01" w:rsidRPr="00BD0F01" w:rsidRDefault="00BD0F01" w:rsidP="00BD0F01">
            <w:pPr>
              <w:spacing w:after="0" w:line="240" w:lineRule="auto"/>
              <w:rPr>
                <w:rFonts w:cs="Calibri"/>
                <w:sz w:val="20"/>
              </w:rPr>
            </w:pPr>
            <w:r w:rsidRPr="00BD0F01">
              <w:rPr>
                <w:rFonts w:cs="Calibri"/>
                <w:sz w:val="20"/>
              </w:rPr>
              <w:t>Män</w:t>
            </w:r>
          </w:p>
        </w:tc>
        <w:tc>
          <w:tcPr>
            <w:tcW w:w="1984" w:type="dxa"/>
            <w:shd w:val="clear" w:color="auto" w:fill="FFFFFF" w:themeFill="background1"/>
            <w:vAlign w:val="bottom"/>
          </w:tcPr>
          <w:p w:rsidR="00BD0F01" w:rsidRPr="00BD0F01" w:rsidRDefault="00BD0F01" w:rsidP="00BD0F01">
            <w:pPr>
              <w:spacing w:after="0" w:line="240" w:lineRule="auto"/>
              <w:jc w:val="center"/>
              <w:rPr>
                <w:rFonts w:cs="Calibri"/>
                <w:sz w:val="20"/>
              </w:rPr>
            </w:pPr>
            <w:r w:rsidRPr="00BD0F01">
              <w:rPr>
                <w:rFonts w:cs="Calibri"/>
                <w:sz w:val="20"/>
              </w:rPr>
              <w:t>4,7</w:t>
            </w:r>
          </w:p>
        </w:tc>
        <w:tc>
          <w:tcPr>
            <w:tcW w:w="1984" w:type="dxa"/>
            <w:shd w:val="clear" w:color="auto" w:fill="FFFFFF" w:themeFill="background1"/>
            <w:vAlign w:val="bottom"/>
          </w:tcPr>
          <w:p w:rsidR="00BD0F01" w:rsidRPr="00BD0F01" w:rsidRDefault="00EB2495" w:rsidP="00BD0F01">
            <w:pPr>
              <w:spacing w:after="0" w:line="240" w:lineRule="auto"/>
              <w:jc w:val="center"/>
              <w:rPr>
                <w:rFonts w:cs="Calibri"/>
                <w:sz w:val="20"/>
              </w:rPr>
            </w:pPr>
            <w:r>
              <w:rPr>
                <w:rFonts w:cs="Calibri"/>
                <w:sz w:val="20"/>
              </w:rPr>
              <w:t>4,6</w:t>
            </w:r>
          </w:p>
        </w:tc>
      </w:tr>
      <w:tr w:rsidR="00BD0F01" w:rsidRPr="00BD0F01" w:rsidTr="003D15C8">
        <w:trPr>
          <w:trHeight w:val="285"/>
        </w:trPr>
        <w:tc>
          <w:tcPr>
            <w:tcW w:w="4253" w:type="dxa"/>
            <w:shd w:val="clear" w:color="auto" w:fill="FFFFFF" w:themeFill="background1"/>
            <w:noWrap/>
            <w:vAlign w:val="bottom"/>
            <w:hideMark/>
          </w:tcPr>
          <w:p w:rsidR="00BD0F01" w:rsidRPr="00BD0F01" w:rsidRDefault="00BD0F01" w:rsidP="00BD0F01">
            <w:pPr>
              <w:spacing w:after="0" w:line="240" w:lineRule="auto"/>
              <w:rPr>
                <w:rFonts w:cs="Calibri"/>
                <w:sz w:val="20"/>
              </w:rPr>
            </w:pPr>
            <w:r w:rsidRPr="00BD0F01">
              <w:rPr>
                <w:rFonts w:cs="Calibri"/>
                <w:sz w:val="20"/>
              </w:rPr>
              <w:t>Kvinnor</w:t>
            </w:r>
          </w:p>
        </w:tc>
        <w:tc>
          <w:tcPr>
            <w:tcW w:w="1984" w:type="dxa"/>
            <w:shd w:val="clear" w:color="auto" w:fill="FFFFFF" w:themeFill="background1"/>
            <w:vAlign w:val="bottom"/>
          </w:tcPr>
          <w:p w:rsidR="00BD0F01" w:rsidRPr="00BD0F01" w:rsidRDefault="00BD0F01" w:rsidP="00BD0F01">
            <w:pPr>
              <w:spacing w:after="0" w:line="240" w:lineRule="auto"/>
              <w:jc w:val="center"/>
              <w:rPr>
                <w:rFonts w:cs="Calibri"/>
                <w:sz w:val="20"/>
              </w:rPr>
            </w:pPr>
            <w:r w:rsidRPr="00BD0F01">
              <w:rPr>
                <w:rFonts w:cs="Calibri"/>
                <w:sz w:val="20"/>
              </w:rPr>
              <w:t>9,6</w:t>
            </w:r>
          </w:p>
        </w:tc>
        <w:tc>
          <w:tcPr>
            <w:tcW w:w="1984" w:type="dxa"/>
            <w:shd w:val="clear" w:color="auto" w:fill="FFFFFF" w:themeFill="background1"/>
            <w:vAlign w:val="bottom"/>
          </w:tcPr>
          <w:p w:rsidR="00BD0F01" w:rsidRPr="00BD0F01" w:rsidRDefault="00EB2495" w:rsidP="00BD0F01">
            <w:pPr>
              <w:spacing w:after="0" w:line="240" w:lineRule="auto"/>
              <w:jc w:val="center"/>
              <w:rPr>
                <w:rFonts w:cs="Calibri"/>
                <w:sz w:val="20"/>
              </w:rPr>
            </w:pPr>
            <w:r>
              <w:rPr>
                <w:rFonts w:cs="Calibri"/>
                <w:sz w:val="20"/>
              </w:rPr>
              <w:t>5,8</w:t>
            </w:r>
          </w:p>
        </w:tc>
      </w:tr>
      <w:tr w:rsidR="00BD0F01" w:rsidRPr="00BD0F01" w:rsidTr="003D15C8">
        <w:trPr>
          <w:trHeight w:val="285"/>
        </w:trPr>
        <w:tc>
          <w:tcPr>
            <w:tcW w:w="4253" w:type="dxa"/>
            <w:shd w:val="clear" w:color="auto" w:fill="FFFFFF" w:themeFill="background1"/>
            <w:noWrap/>
            <w:vAlign w:val="bottom"/>
            <w:hideMark/>
          </w:tcPr>
          <w:p w:rsidR="00BD0F01" w:rsidRPr="00BD0F01" w:rsidRDefault="00BD0F01" w:rsidP="00BD0F01">
            <w:pPr>
              <w:spacing w:after="0" w:line="240" w:lineRule="auto"/>
              <w:rPr>
                <w:rFonts w:cs="Calibri"/>
                <w:sz w:val="20"/>
              </w:rPr>
            </w:pPr>
            <w:r w:rsidRPr="00BD0F01">
              <w:rPr>
                <w:rFonts w:cs="Calibri"/>
                <w:sz w:val="20"/>
              </w:rPr>
              <w:t>Anställda -29 år</w:t>
            </w:r>
          </w:p>
        </w:tc>
        <w:tc>
          <w:tcPr>
            <w:tcW w:w="1984" w:type="dxa"/>
            <w:shd w:val="clear" w:color="auto" w:fill="FFFFFF" w:themeFill="background1"/>
            <w:vAlign w:val="bottom"/>
          </w:tcPr>
          <w:p w:rsidR="00BD0F01" w:rsidRPr="00BD0F01" w:rsidRDefault="00BD0F01" w:rsidP="00BD0F01">
            <w:pPr>
              <w:spacing w:after="0" w:line="240" w:lineRule="auto"/>
              <w:jc w:val="center"/>
              <w:rPr>
                <w:rFonts w:cs="Calibri"/>
                <w:sz w:val="20"/>
              </w:rPr>
            </w:pPr>
            <w:r w:rsidRPr="00BD0F01">
              <w:rPr>
                <w:rFonts w:cs="Calibri"/>
                <w:sz w:val="20"/>
              </w:rPr>
              <w:t>2,7</w:t>
            </w:r>
          </w:p>
        </w:tc>
        <w:tc>
          <w:tcPr>
            <w:tcW w:w="1984" w:type="dxa"/>
            <w:shd w:val="clear" w:color="auto" w:fill="FFFFFF" w:themeFill="background1"/>
            <w:vAlign w:val="bottom"/>
          </w:tcPr>
          <w:p w:rsidR="00BD0F01" w:rsidRPr="00BD0F01" w:rsidRDefault="00EB2495" w:rsidP="00BD0F01">
            <w:pPr>
              <w:spacing w:after="0" w:line="240" w:lineRule="auto"/>
              <w:jc w:val="center"/>
              <w:rPr>
                <w:rFonts w:cs="Calibri"/>
                <w:sz w:val="20"/>
              </w:rPr>
            </w:pPr>
            <w:r>
              <w:rPr>
                <w:rFonts w:cs="Calibri"/>
                <w:sz w:val="20"/>
              </w:rPr>
              <w:t>7,1</w:t>
            </w:r>
          </w:p>
        </w:tc>
      </w:tr>
      <w:tr w:rsidR="00BD0F01" w:rsidRPr="00BD0F01" w:rsidTr="003D15C8">
        <w:trPr>
          <w:trHeight w:val="285"/>
        </w:trPr>
        <w:tc>
          <w:tcPr>
            <w:tcW w:w="4253" w:type="dxa"/>
            <w:shd w:val="clear" w:color="auto" w:fill="FFFFFF" w:themeFill="background1"/>
            <w:noWrap/>
            <w:vAlign w:val="bottom"/>
            <w:hideMark/>
          </w:tcPr>
          <w:p w:rsidR="00BD0F01" w:rsidRPr="00BD0F01" w:rsidRDefault="00BD0F01" w:rsidP="00BD0F01">
            <w:pPr>
              <w:spacing w:after="0" w:line="240" w:lineRule="auto"/>
              <w:rPr>
                <w:rFonts w:cs="Calibri"/>
                <w:sz w:val="20"/>
              </w:rPr>
            </w:pPr>
            <w:r w:rsidRPr="00BD0F01">
              <w:rPr>
                <w:rFonts w:cs="Calibri"/>
                <w:sz w:val="20"/>
              </w:rPr>
              <w:t>Anställda 30 - 49 år</w:t>
            </w:r>
          </w:p>
        </w:tc>
        <w:tc>
          <w:tcPr>
            <w:tcW w:w="1984" w:type="dxa"/>
            <w:shd w:val="clear" w:color="auto" w:fill="FFFFFF" w:themeFill="background1"/>
            <w:vAlign w:val="bottom"/>
          </w:tcPr>
          <w:p w:rsidR="00BD0F01" w:rsidRPr="00BD0F01" w:rsidRDefault="00BD0F01" w:rsidP="00BD0F01">
            <w:pPr>
              <w:spacing w:after="0" w:line="240" w:lineRule="auto"/>
              <w:jc w:val="center"/>
              <w:rPr>
                <w:rFonts w:cs="Calibri"/>
                <w:sz w:val="20"/>
              </w:rPr>
            </w:pPr>
            <w:r w:rsidRPr="00BD0F01">
              <w:rPr>
                <w:rFonts w:cs="Calibri"/>
                <w:sz w:val="20"/>
              </w:rPr>
              <w:t>6,7</w:t>
            </w:r>
          </w:p>
        </w:tc>
        <w:tc>
          <w:tcPr>
            <w:tcW w:w="1984" w:type="dxa"/>
            <w:shd w:val="clear" w:color="auto" w:fill="FFFFFF" w:themeFill="background1"/>
            <w:vAlign w:val="bottom"/>
          </w:tcPr>
          <w:p w:rsidR="00BD0F01" w:rsidRPr="00BD0F01" w:rsidRDefault="00EB2495" w:rsidP="00BD0F01">
            <w:pPr>
              <w:spacing w:after="0" w:line="240" w:lineRule="auto"/>
              <w:jc w:val="center"/>
              <w:rPr>
                <w:rFonts w:cs="Calibri"/>
                <w:sz w:val="20"/>
              </w:rPr>
            </w:pPr>
            <w:r>
              <w:rPr>
                <w:rFonts w:cs="Calibri"/>
                <w:sz w:val="20"/>
              </w:rPr>
              <w:t>4,2</w:t>
            </w:r>
          </w:p>
        </w:tc>
      </w:tr>
      <w:tr w:rsidR="00BD0F01" w:rsidRPr="00BD0F01" w:rsidTr="003D15C8">
        <w:trPr>
          <w:trHeight w:val="285"/>
        </w:trPr>
        <w:tc>
          <w:tcPr>
            <w:tcW w:w="4253" w:type="dxa"/>
            <w:tcBorders>
              <w:bottom w:val="single" w:sz="4" w:space="0" w:color="auto"/>
            </w:tcBorders>
            <w:shd w:val="clear" w:color="auto" w:fill="FFFFFF" w:themeFill="background1"/>
            <w:noWrap/>
            <w:vAlign w:val="bottom"/>
            <w:hideMark/>
          </w:tcPr>
          <w:p w:rsidR="00BD0F01" w:rsidRPr="00BD0F01" w:rsidRDefault="00BD0F01" w:rsidP="00BD0F01">
            <w:pPr>
              <w:spacing w:after="0" w:line="240" w:lineRule="auto"/>
              <w:rPr>
                <w:rFonts w:cs="Calibri"/>
                <w:sz w:val="20"/>
              </w:rPr>
            </w:pPr>
            <w:r w:rsidRPr="00BD0F01">
              <w:rPr>
                <w:rFonts w:cs="Calibri"/>
                <w:sz w:val="20"/>
              </w:rPr>
              <w:t>Anställda 50 år -</w:t>
            </w:r>
          </w:p>
        </w:tc>
        <w:tc>
          <w:tcPr>
            <w:tcW w:w="1984" w:type="dxa"/>
            <w:tcBorders>
              <w:bottom w:val="single" w:sz="4" w:space="0" w:color="auto"/>
            </w:tcBorders>
            <w:shd w:val="clear" w:color="auto" w:fill="FFFFFF" w:themeFill="background1"/>
            <w:vAlign w:val="bottom"/>
          </w:tcPr>
          <w:p w:rsidR="00BD0F01" w:rsidRPr="00BD0F01" w:rsidRDefault="00BD0F01" w:rsidP="00BD0F01">
            <w:pPr>
              <w:spacing w:after="0" w:line="240" w:lineRule="auto"/>
              <w:jc w:val="center"/>
              <w:rPr>
                <w:rFonts w:cs="Calibri"/>
                <w:sz w:val="20"/>
              </w:rPr>
            </w:pPr>
            <w:r w:rsidRPr="00BD0F01">
              <w:rPr>
                <w:rFonts w:cs="Calibri"/>
                <w:sz w:val="20"/>
              </w:rPr>
              <w:t>8,8</w:t>
            </w:r>
          </w:p>
        </w:tc>
        <w:tc>
          <w:tcPr>
            <w:tcW w:w="1984" w:type="dxa"/>
            <w:tcBorders>
              <w:bottom w:val="single" w:sz="4" w:space="0" w:color="auto"/>
            </w:tcBorders>
            <w:shd w:val="clear" w:color="auto" w:fill="FFFFFF" w:themeFill="background1"/>
            <w:vAlign w:val="bottom"/>
          </w:tcPr>
          <w:p w:rsidR="00BD0F01" w:rsidRPr="00BD0F01" w:rsidRDefault="00EB2495" w:rsidP="00BD0F01">
            <w:pPr>
              <w:spacing w:after="0" w:line="240" w:lineRule="auto"/>
              <w:jc w:val="center"/>
              <w:rPr>
                <w:rFonts w:cs="Calibri"/>
                <w:sz w:val="20"/>
              </w:rPr>
            </w:pPr>
            <w:r>
              <w:rPr>
                <w:rFonts w:cs="Calibri"/>
                <w:sz w:val="20"/>
              </w:rPr>
              <w:t>5,5</w:t>
            </w:r>
          </w:p>
        </w:tc>
      </w:tr>
      <w:tr w:rsidR="00BD0F01" w:rsidRPr="00BD0F01" w:rsidTr="003D15C8">
        <w:trPr>
          <w:trHeight w:val="300"/>
        </w:trPr>
        <w:tc>
          <w:tcPr>
            <w:tcW w:w="4253" w:type="dxa"/>
            <w:tcBorders>
              <w:top w:val="single" w:sz="4" w:space="0" w:color="auto"/>
            </w:tcBorders>
            <w:shd w:val="clear" w:color="auto" w:fill="FFFFFF" w:themeFill="background1"/>
            <w:noWrap/>
            <w:vAlign w:val="bottom"/>
            <w:hideMark/>
          </w:tcPr>
          <w:p w:rsidR="00BD0F01" w:rsidRPr="003D15C8" w:rsidRDefault="00BD0F01" w:rsidP="00BD0F01">
            <w:pPr>
              <w:spacing w:after="0" w:line="240" w:lineRule="auto"/>
              <w:rPr>
                <w:rFonts w:cs="Calibri"/>
                <w:b/>
                <w:sz w:val="20"/>
              </w:rPr>
            </w:pPr>
            <w:r w:rsidRPr="003D15C8">
              <w:rPr>
                <w:rFonts w:cs="Calibri"/>
                <w:b/>
                <w:bCs/>
                <w:sz w:val="20"/>
              </w:rPr>
              <w:t>Rehabiliteringsärenden antal</w:t>
            </w:r>
            <w:r w:rsidRPr="003D15C8">
              <w:rPr>
                <w:rStyle w:val="Fotnotsreferens"/>
                <w:rFonts w:cs="Calibri"/>
                <w:b/>
                <w:bCs/>
                <w:sz w:val="20"/>
              </w:rPr>
              <w:footnoteReference w:id="6"/>
            </w:r>
          </w:p>
        </w:tc>
        <w:tc>
          <w:tcPr>
            <w:tcW w:w="1984" w:type="dxa"/>
            <w:tcBorders>
              <w:top w:val="single" w:sz="4" w:space="0" w:color="auto"/>
            </w:tcBorders>
            <w:shd w:val="clear" w:color="auto" w:fill="FFFFFF" w:themeFill="background1"/>
            <w:vAlign w:val="bottom"/>
          </w:tcPr>
          <w:p w:rsidR="00BD0F01" w:rsidRPr="003D15C8" w:rsidRDefault="00BD0F01" w:rsidP="00BD0F01">
            <w:pPr>
              <w:spacing w:after="0" w:line="240" w:lineRule="auto"/>
              <w:jc w:val="center"/>
              <w:rPr>
                <w:rFonts w:cs="Calibri"/>
                <w:b/>
                <w:bCs/>
                <w:sz w:val="20"/>
              </w:rPr>
            </w:pPr>
            <w:r w:rsidRPr="003D15C8">
              <w:rPr>
                <w:rFonts w:cs="Calibri"/>
                <w:b/>
                <w:bCs/>
                <w:sz w:val="20"/>
              </w:rPr>
              <w:t>2016</w:t>
            </w:r>
          </w:p>
        </w:tc>
        <w:tc>
          <w:tcPr>
            <w:tcW w:w="1984" w:type="dxa"/>
            <w:tcBorders>
              <w:top w:val="single" w:sz="4" w:space="0" w:color="auto"/>
            </w:tcBorders>
            <w:shd w:val="clear" w:color="auto" w:fill="FFFFFF" w:themeFill="background1"/>
            <w:vAlign w:val="bottom"/>
          </w:tcPr>
          <w:p w:rsidR="00BD0F01" w:rsidRPr="003D15C8" w:rsidRDefault="00BD0F01" w:rsidP="00BD0F01">
            <w:pPr>
              <w:spacing w:after="0" w:line="240" w:lineRule="auto"/>
              <w:jc w:val="center"/>
              <w:rPr>
                <w:rFonts w:cs="Calibri"/>
                <w:b/>
                <w:bCs/>
                <w:sz w:val="20"/>
              </w:rPr>
            </w:pPr>
            <w:r w:rsidRPr="003D15C8">
              <w:rPr>
                <w:rFonts w:cs="Calibri"/>
                <w:b/>
                <w:bCs/>
                <w:sz w:val="20"/>
              </w:rPr>
              <w:t>2017</w:t>
            </w:r>
          </w:p>
        </w:tc>
      </w:tr>
      <w:tr w:rsidR="00BD0F01" w:rsidRPr="00BD0F01" w:rsidTr="003D15C8">
        <w:trPr>
          <w:trHeight w:val="285"/>
        </w:trPr>
        <w:tc>
          <w:tcPr>
            <w:tcW w:w="4253" w:type="dxa"/>
            <w:shd w:val="clear" w:color="auto" w:fill="FFFFFF" w:themeFill="background1"/>
            <w:noWrap/>
            <w:vAlign w:val="bottom"/>
            <w:hideMark/>
          </w:tcPr>
          <w:p w:rsidR="00BD0F01" w:rsidRPr="003D15C8" w:rsidRDefault="00BD0F01" w:rsidP="00BD0F01">
            <w:pPr>
              <w:spacing w:after="0" w:line="240" w:lineRule="auto"/>
              <w:rPr>
                <w:rFonts w:cs="Calibri"/>
                <w:sz w:val="20"/>
              </w:rPr>
            </w:pPr>
            <w:r w:rsidRPr="003D15C8">
              <w:rPr>
                <w:rFonts w:cs="Calibri"/>
                <w:sz w:val="20"/>
              </w:rPr>
              <w:t>Rehabärenden totalt under perioden</w:t>
            </w:r>
          </w:p>
        </w:tc>
        <w:tc>
          <w:tcPr>
            <w:tcW w:w="1984" w:type="dxa"/>
            <w:shd w:val="clear" w:color="auto" w:fill="FFFFFF" w:themeFill="background1"/>
            <w:vAlign w:val="bottom"/>
          </w:tcPr>
          <w:p w:rsidR="00BD0F01" w:rsidRPr="003D15C8" w:rsidRDefault="00BD0F01" w:rsidP="00BD0F01">
            <w:pPr>
              <w:spacing w:after="0" w:line="240" w:lineRule="auto"/>
              <w:jc w:val="center"/>
              <w:rPr>
                <w:rFonts w:cs="Calibri"/>
                <w:sz w:val="20"/>
              </w:rPr>
            </w:pPr>
            <w:r w:rsidRPr="003D15C8">
              <w:rPr>
                <w:rFonts w:cs="Calibri"/>
                <w:sz w:val="20"/>
              </w:rPr>
              <w:t>16</w:t>
            </w:r>
          </w:p>
        </w:tc>
        <w:tc>
          <w:tcPr>
            <w:tcW w:w="1984" w:type="dxa"/>
            <w:shd w:val="clear" w:color="auto" w:fill="FFFFFF" w:themeFill="background1"/>
            <w:vAlign w:val="bottom"/>
          </w:tcPr>
          <w:p w:rsidR="00BD0F01" w:rsidRPr="003D15C8" w:rsidRDefault="00EB2495" w:rsidP="00BD0F01">
            <w:pPr>
              <w:spacing w:after="0" w:line="240" w:lineRule="auto"/>
              <w:jc w:val="center"/>
              <w:rPr>
                <w:rFonts w:cs="Calibri"/>
                <w:sz w:val="20"/>
              </w:rPr>
            </w:pPr>
            <w:r w:rsidRPr="003D15C8">
              <w:rPr>
                <w:rFonts w:cs="Calibri"/>
                <w:sz w:val="20"/>
              </w:rPr>
              <w:t>12</w:t>
            </w:r>
          </w:p>
        </w:tc>
      </w:tr>
      <w:tr w:rsidR="00BD0F01" w:rsidRPr="00BD0F01" w:rsidTr="003D15C8">
        <w:trPr>
          <w:trHeight w:val="285"/>
        </w:trPr>
        <w:tc>
          <w:tcPr>
            <w:tcW w:w="4253" w:type="dxa"/>
            <w:tcBorders>
              <w:bottom w:val="single" w:sz="4" w:space="0" w:color="auto"/>
            </w:tcBorders>
            <w:shd w:val="clear" w:color="auto" w:fill="FFFFFF" w:themeFill="background1"/>
            <w:noWrap/>
            <w:vAlign w:val="bottom"/>
            <w:hideMark/>
          </w:tcPr>
          <w:p w:rsidR="00BD0F01" w:rsidRPr="003D15C8" w:rsidRDefault="00BD0F01" w:rsidP="00BD0F01">
            <w:pPr>
              <w:spacing w:after="0" w:line="240" w:lineRule="auto"/>
              <w:rPr>
                <w:rFonts w:cs="Calibri"/>
                <w:sz w:val="20"/>
              </w:rPr>
            </w:pPr>
            <w:r w:rsidRPr="003D15C8">
              <w:rPr>
                <w:rFonts w:cs="Calibri"/>
                <w:sz w:val="20"/>
              </w:rPr>
              <w:t>Avslutade under perioden</w:t>
            </w:r>
          </w:p>
        </w:tc>
        <w:tc>
          <w:tcPr>
            <w:tcW w:w="1984" w:type="dxa"/>
            <w:tcBorders>
              <w:bottom w:val="single" w:sz="4" w:space="0" w:color="auto"/>
            </w:tcBorders>
            <w:shd w:val="clear" w:color="auto" w:fill="FFFFFF" w:themeFill="background1"/>
            <w:vAlign w:val="bottom"/>
          </w:tcPr>
          <w:p w:rsidR="00BD0F01" w:rsidRPr="003D15C8" w:rsidRDefault="00BD0F01" w:rsidP="00BD0F01">
            <w:pPr>
              <w:spacing w:after="0" w:line="240" w:lineRule="auto"/>
              <w:jc w:val="center"/>
              <w:rPr>
                <w:rFonts w:cs="Calibri"/>
                <w:sz w:val="20"/>
              </w:rPr>
            </w:pPr>
            <w:r w:rsidRPr="003D15C8">
              <w:rPr>
                <w:rFonts w:cs="Calibri"/>
                <w:sz w:val="20"/>
              </w:rPr>
              <w:t>11</w:t>
            </w:r>
          </w:p>
        </w:tc>
        <w:tc>
          <w:tcPr>
            <w:tcW w:w="1984" w:type="dxa"/>
            <w:tcBorders>
              <w:bottom w:val="single" w:sz="4" w:space="0" w:color="auto"/>
            </w:tcBorders>
            <w:shd w:val="clear" w:color="auto" w:fill="FFFFFF" w:themeFill="background1"/>
            <w:vAlign w:val="bottom"/>
          </w:tcPr>
          <w:p w:rsidR="00BD0F01" w:rsidRPr="003D15C8" w:rsidRDefault="00EB2495" w:rsidP="00BD0F01">
            <w:pPr>
              <w:spacing w:after="0" w:line="240" w:lineRule="auto"/>
              <w:jc w:val="center"/>
              <w:rPr>
                <w:rFonts w:cs="Calibri"/>
                <w:sz w:val="20"/>
              </w:rPr>
            </w:pPr>
            <w:r w:rsidRPr="003D15C8">
              <w:rPr>
                <w:rFonts w:cs="Calibri"/>
                <w:sz w:val="20"/>
              </w:rPr>
              <w:t>8</w:t>
            </w:r>
          </w:p>
        </w:tc>
      </w:tr>
      <w:tr w:rsidR="00BD0F01" w:rsidRPr="00BD0F01" w:rsidTr="003D1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4253" w:type="dxa"/>
            <w:tcBorders>
              <w:left w:val="nil"/>
              <w:bottom w:val="nil"/>
              <w:right w:val="nil"/>
            </w:tcBorders>
            <w:shd w:val="clear" w:color="auto" w:fill="FFFFFF" w:themeFill="background1"/>
            <w:vAlign w:val="bottom"/>
          </w:tcPr>
          <w:p w:rsidR="00BD0F01" w:rsidRPr="003D15C8" w:rsidRDefault="00BD0F01" w:rsidP="00BD0F01">
            <w:pPr>
              <w:spacing w:after="0" w:line="240" w:lineRule="auto"/>
              <w:rPr>
                <w:rFonts w:cs="Calibri"/>
                <w:b/>
                <w:bCs/>
                <w:sz w:val="20"/>
              </w:rPr>
            </w:pPr>
            <w:r w:rsidRPr="003D15C8">
              <w:rPr>
                <w:rFonts w:cs="Calibri"/>
                <w:b/>
                <w:bCs/>
                <w:sz w:val="20"/>
              </w:rPr>
              <w:t>Ackumulerad frisknärvaro</w:t>
            </w:r>
            <w:r w:rsidRPr="003D15C8">
              <w:rPr>
                <w:rStyle w:val="Fotnotsreferens"/>
                <w:rFonts w:cs="Calibri"/>
                <w:b/>
                <w:bCs/>
                <w:sz w:val="20"/>
              </w:rPr>
              <w:footnoteReference w:id="7"/>
            </w:r>
            <w:r w:rsidRPr="003D15C8">
              <w:rPr>
                <w:rFonts w:cs="Calibri"/>
                <w:b/>
                <w:bCs/>
                <w:sz w:val="20"/>
              </w:rPr>
              <w:t xml:space="preserve"> %</w:t>
            </w:r>
          </w:p>
        </w:tc>
        <w:tc>
          <w:tcPr>
            <w:tcW w:w="1984" w:type="dxa"/>
            <w:tcBorders>
              <w:left w:val="nil"/>
              <w:bottom w:val="nil"/>
              <w:right w:val="nil"/>
            </w:tcBorders>
            <w:shd w:val="clear" w:color="auto" w:fill="FFFFFF" w:themeFill="background1"/>
            <w:vAlign w:val="bottom"/>
          </w:tcPr>
          <w:p w:rsidR="00BD0F01" w:rsidRPr="003D15C8" w:rsidRDefault="00BD0F01" w:rsidP="00BD0F01">
            <w:pPr>
              <w:spacing w:after="0" w:line="240" w:lineRule="auto"/>
              <w:jc w:val="center"/>
              <w:rPr>
                <w:rFonts w:cs="Calibri"/>
                <w:b/>
                <w:bCs/>
                <w:sz w:val="20"/>
              </w:rPr>
            </w:pPr>
            <w:r w:rsidRPr="003D15C8">
              <w:rPr>
                <w:rFonts w:cs="Calibri"/>
                <w:b/>
                <w:bCs/>
                <w:sz w:val="20"/>
              </w:rPr>
              <w:t>2016</w:t>
            </w:r>
          </w:p>
        </w:tc>
        <w:tc>
          <w:tcPr>
            <w:tcW w:w="1984" w:type="dxa"/>
            <w:tcBorders>
              <w:left w:val="nil"/>
              <w:bottom w:val="nil"/>
              <w:right w:val="nil"/>
            </w:tcBorders>
            <w:shd w:val="clear" w:color="auto" w:fill="FFFFFF" w:themeFill="background1"/>
            <w:vAlign w:val="bottom"/>
          </w:tcPr>
          <w:p w:rsidR="00BD0F01" w:rsidRPr="003D15C8" w:rsidRDefault="00BD0F01" w:rsidP="00BD0F01">
            <w:pPr>
              <w:spacing w:after="0" w:line="240" w:lineRule="auto"/>
              <w:jc w:val="center"/>
              <w:rPr>
                <w:rFonts w:cs="Calibri"/>
                <w:b/>
                <w:bCs/>
                <w:sz w:val="20"/>
              </w:rPr>
            </w:pPr>
            <w:r w:rsidRPr="003D15C8">
              <w:rPr>
                <w:rFonts w:cs="Calibri"/>
                <w:b/>
                <w:bCs/>
                <w:sz w:val="20"/>
              </w:rPr>
              <w:t>2017</w:t>
            </w:r>
          </w:p>
        </w:tc>
      </w:tr>
      <w:tr w:rsidR="00BD0F01" w:rsidRPr="00BD0F01" w:rsidTr="003D1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4253" w:type="dxa"/>
            <w:tcBorders>
              <w:top w:val="nil"/>
              <w:left w:val="nil"/>
              <w:bottom w:val="nil"/>
              <w:right w:val="nil"/>
            </w:tcBorders>
            <w:shd w:val="clear" w:color="auto" w:fill="FFFFFF" w:themeFill="background1"/>
            <w:vAlign w:val="bottom"/>
          </w:tcPr>
          <w:p w:rsidR="00BD0F01" w:rsidRPr="003D15C8" w:rsidRDefault="00BD0F01" w:rsidP="00BD0F01">
            <w:pPr>
              <w:spacing w:after="0" w:line="240" w:lineRule="auto"/>
              <w:rPr>
                <w:rFonts w:cs="Calibri"/>
                <w:sz w:val="20"/>
              </w:rPr>
            </w:pPr>
            <w:r w:rsidRPr="003D15C8">
              <w:rPr>
                <w:rFonts w:cs="Calibri"/>
                <w:sz w:val="20"/>
              </w:rPr>
              <w:t>Total frisknärvaro</w:t>
            </w:r>
          </w:p>
        </w:tc>
        <w:tc>
          <w:tcPr>
            <w:tcW w:w="1984" w:type="dxa"/>
            <w:tcBorders>
              <w:top w:val="nil"/>
              <w:left w:val="nil"/>
              <w:bottom w:val="nil"/>
              <w:right w:val="nil"/>
            </w:tcBorders>
            <w:shd w:val="clear" w:color="auto" w:fill="FFFFFF" w:themeFill="background1"/>
            <w:vAlign w:val="bottom"/>
          </w:tcPr>
          <w:p w:rsidR="00BD0F01" w:rsidRPr="003D15C8" w:rsidRDefault="00BD0F01" w:rsidP="00BD0F01">
            <w:pPr>
              <w:spacing w:after="0" w:line="240" w:lineRule="auto"/>
              <w:jc w:val="center"/>
              <w:rPr>
                <w:rFonts w:cs="Calibri"/>
                <w:sz w:val="20"/>
              </w:rPr>
            </w:pPr>
            <w:r w:rsidRPr="003D15C8">
              <w:rPr>
                <w:rFonts w:cs="Calibri"/>
                <w:sz w:val="20"/>
              </w:rPr>
              <w:t>45,2</w:t>
            </w:r>
          </w:p>
        </w:tc>
        <w:tc>
          <w:tcPr>
            <w:tcW w:w="1984" w:type="dxa"/>
            <w:tcBorders>
              <w:top w:val="nil"/>
              <w:left w:val="nil"/>
              <w:bottom w:val="nil"/>
              <w:right w:val="nil"/>
            </w:tcBorders>
            <w:shd w:val="clear" w:color="auto" w:fill="FFFFFF" w:themeFill="background1"/>
            <w:vAlign w:val="bottom"/>
          </w:tcPr>
          <w:p w:rsidR="00BD0F01" w:rsidRPr="003D15C8" w:rsidRDefault="00EB2495" w:rsidP="00BD0F01">
            <w:pPr>
              <w:spacing w:after="0" w:line="240" w:lineRule="auto"/>
              <w:jc w:val="center"/>
              <w:rPr>
                <w:rFonts w:cs="Calibri"/>
                <w:sz w:val="20"/>
              </w:rPr>
            </w:pPr>
            <w:r w:rsidRPr="003D15C8">
              <w:rPr>
                <w:rFonts w:cs="Calibri"/>
                <w:sz w:val="20"/>
              </w:rPr>
              <w:t>56,5</w:t>
            </w:r>
          </w:p>
        </w:tc>
      </w:tr>
      <w:tr w:rsidR="00BD0F01" w:rsidRPr="00BD0F01" w:rsidTr="003D1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4253" w:type="dxa"/>
            <w:tcBorders>
              <w:top w:val="nil"/>
              <w:left w:val="nil"/>
              <w:bottom w:val="nil"/>
              <w:right w:val="nil"/>
            </w:tcBorders>
            <w:shd w:val="clear" w:color="auto" w:fill="FFFFFF" w:themeFill="background1"/>
            <w:vAlign w:val="bottom"/>
          </w:tcPr>
          <w:p w:rsidR="00BD0F01" w:rsidRPr="003D15C8" w:rsidRDefault="00BD0F01" w:rsidP="00BD0F01">
            <w:pPr>
              <w:spacing w:after="0" w:line="240" w:lineRule="auto"/>
              <w:rPr>
                <w:rFonts w:cs="Calibri"/>
                <w:sz w:val="20"/>
              </w:rPr>
            </w:pPr>
            <w:r w:rsidRPr="003D15C8">
              <w:rPr>
                <w:rFonts w:cs="Calibri"/>
                <w:sz w:val="20"/>
              </w:rPr>
              <w:t>Män</w:t>
            </w:r>
          </w:p>
        </w:tc>
        <w:tc>
          <w:tcPr>
            <w:tcW w:w="1984" w:type="dxa"/>
            <w:tcBorders>
              <w:top w:val="nil"/>
              <w:left w:val="nil"/>
              <w:bottom w:val="nil"/>
              <w:right w:val="nil"/>
            </w:tcBorders>
            <w:shd w:val="clear" w:color="auto" w:fill="FFFFFF" w:themeFill="background1"/>
            <w:vAlign w:val="bottom"/>
          </w:tcPr>
          <w:p w:rsidR="00BD0F01" w:rsidRPr="003D15C8" w:rsidRDefault="00BD0F01" w:rsidP="00BD0F01">
            <w:pPr>
              <w:spacing w:after="0" w:line="240" w:lineRule="auto"/>
              <w:jc w:val="center"/>
              <w:rPr>
                <w:rFonts w:cs="Calibri"/>
                <w:sz w:val="20"/>
              </w:rPr>
            </w:pPr>
            <w:r w:rsidRPr="003D15C8">
              <w:rPr>
                <w:rFonts w:cs="Calibri"/>
                <w:sz w:val="20"/>
              </w:rPr>
              <w:t>57,1</w:t>
            </w:r>
          </w:p>
        </w:tc>
        <w:tc>
          <w:tcPr>
            <w:tcW w:w="1984" w:type="dxa"/>
            <w:tcBorders>
              <w:top w:val="nil"/>
              <w:left w:val="nil"/>
              <w:bottom w:val="nil"/>
              <w:right w:val="nil"/>
            </w:tcBorders>
            <w:shd w:val="clear" w:color="auto" w:fill="FFFFFF" w:themeFill="background1"/>
            <w:vAlign w:val="bottom"/>
          </w:tcPr>
          <w:p w:rsidR="00BD0F01" w:rsidRPr="003D15C8" w:rsidRDefault="00EB2495" w:rsidP="00BD0F01">
            <w:pPr>
              <w:spacing w:after="0" w:line="240" w:lineRule="auto"/>
              <w:jc w:val="center"/>
              <w:rPr>
                <w:rFonts w:cs="Calibri"/>
                <w:sz w:val="20"/>
              </w:rPr>
            </w:pPr>
            <w:r w:rsidRPr="003D15C8">
              <w:rPr>
                <w:rFonts w:cs="Calibri"/>
                <w:sz w:val="20"/>
              </w:rPr>
              <w:t>53,1</w:t>
            </w:r>
          </w:p>
        </w:tc>
      </w:tr>
      <w:tr w:rsidR="00BD0F01" w:rsidRPr="00BD0F01" w:rsidTr="003D1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4"/>
        </w:trPr>
        <w:tc>
          <w:tcPr>
            <w:tcW w:w="4253" w:type="dxa"/>
            <w:tcBorders>
              <w:top w:val="nil"/>
              <w:left w:val="nil"/>
              <w:bottom w:val="nil"/>
              <w:right w:val="nil"/>
            </w:tcBorders>
            <w:shd w:val="clear" w:color="auto" w:fill="FFFFFF" w:themeFill="background1"/>
            <w:vAlign w:val="bottom"/>
          </w:tcPr>
          <w:p w:rsidR="00BD0F01" w:rsidRPr="003D15C8" w:rsidRDefault="00BD0F01" w:rsidP="00BD0F01">
            <w:pPr>
              <w:spacing w:after="0" w:line="240" w:lineRule="auto"/>
              <w:rPr>
                <w:rFonts w:cs="Calibri"/>
                <w:sz w:val="20"/>
              </w:rPr>
            </w:pPr>
            <w:r w:rsidRPr="003D15C8">
              <w:rPr>
                <w:rFonts w:cs="Calibri"/>
                <w:sz w:val="20"/>
              </w:rPr>
              <w:t>Kvinnor</w:t>
            </w:r>
          </w:p>
        </w:tc>
        <w:tc>
          <w:tcPr>
            <w:tcW w:w="1984" w:type="dxa"/>
            <w:tcBorders>
              <w:top w:val="nil"/>
              <w:left w:val="nil"/>
              <w:bottom w:val="nil"/>
              <w:right w:val="nil"/>
            </w:tcBorders>
            <w:shd w:val="clear" w:color="auto" w:fill="FFFFFF" w:themeFill="background1"/>
            <w:vAlign w:val="bottom"/>
          </w:tcPr>
          <w:p w:rsidR="00BD0F01" w:rsidRPr="003D15C8" w:rsidRDefault="00BD0F01" w:rsidP="00BD0F01">
            <w:pPr>
              <w:spacing w:after="0" w:line="240" w:lineRule="auto"/>
              <w:jc w:val="center"/>
              <w:rPr>
                <w:rFonts w:cs="Calibri"/>
                <w:sz w:val="20"/>
              </w:rPr>
            </w:pPr>
            <w:r w:rsidRPr="003D15C8">
              <w:rPr>
                <w:rFonts w:cs="Calibri"/>
                <w:sz w:val="20"/>
              </w:rPr>
              <w:t>35,3</w:t>
            </w:r>
          </w:p>
        </w:tc>
        <w:tc>
          <w:tcPr>
            <w:tcW w:w="1984" w:type="dxa"/>
            <w:tcBorders>
              <w:top w:val="nil"/>
              <w:left w:val="nil"/>
              <w:bottom w:val="nil"/>
              <w:right w:val="nil"/>
            </w:tcBorders>
            <w:shd w:val="clear" w:color="auto" w:fill="FFFFFF" w:themeFill="background1"/>
            <w:vAlign w:val="bottom"/>
          </w:tcPr>
          <w:p w:rsidR="00BD0F01" w:rsidRPr="003D15C8" w:rsidRDefault="00EB2495" w:rsidP="00BD0F01">
            <w:pPr>
              <w:spacing w:after="0" w:line="240" w:lineRule="auto"/>
              <w:jc w:val="center"/>
              <w:rPr>
                <w:rFonts w:cs="Calibri"/>
                <w:sz w:val="20"/>
              </w:rPr>
            </w:pPr>
            <w:r w:rsidRPr="003D15C8">
              <w:rPr>
                <w:rFonts w:cs="Calibri"/>
                <w:sz w:val="20"/>
              </w:rPr>
              <w:t>59,5</w:t>
            </w:r>
          </w:p>
        </w:tc>
      </w:tr>
      <w:tr w:rsidR="00BD0F01" w:rsidRPr="00BD0F01" w:rsidTr="003D15C8">
        <w:tblPrEx>
          <w:tblCellMar>
            <w:left w:w="0" w:type="dxa"/>
            <w:right w:w="0" w:type="dxa"/>
          </w:tblCellMar>
        </w:tblPrEx>
        <w:trPr>
          <w:trHeight w:val="269"/>
        </w:trPr>
        <w:tc>
          <w:tcPr>
            <w:tcW w:w="4253" w:type="dxa"/>
            <w:tcBorders>
              <w:top w:val="single" w:sz="4" w:space="0" w:color="auto"/>
            </w:tcBorders>
            <w:shd w:val="clear" w:color="auto" w:fill="FFFFFF" w:themeFill="background1"/>
            <w:noWrap/>
            <w:tcMar>
              <w:top w:w="0" w:type="dxa"/>
              <w:left w:w="70" w:type="dxa"/>
              <w:bottom w:w="0" w:type="dxa"/>
              <w:right w:w="70" w:type="dxa"/>
            </w:tcMar>
            <w:vAlign w:val="bottom"/>
          </w:tcPr>
          <w:p w:rsidR="00BD0F01" w:rsidRPr="003D15C8" w:rsidRDefault="00BD0F01" w:rsidP="00BD0F01">
            <w:pPr>
              <w:spacing w:after="0" w:line="240" w:lineRule="auto"/>
              <w:rPr>
                <w:rFonts w:cs="Calibri"/>
                <w:b/>
                <w:sz w:val="20"/>
              </w:rPr>
            </w:pPr>
            <w:r w:rsidRPr="003D15C8">
              <w:rPr>
                <w:rFonts w:cs="Calibri"/>
                <w:b/>
                <w:sz w:val="20"/>
              </w:rPr>
              <w:t>Arbetsmiljöavvikelser, antal</w:t>
            </w:r>
          </w:p>
        </w:tc>
        <w:tc>
          <w:tcPr>
            <w:tcW w:w="1984" w:type="dxa"/>
            <w:tcBorders>
              <w:top w:val="single" w:sz="4" w:space="0" w:color="auto"/>
            </w:tcBorders>
            <w:shd w:val="clear" w:color="auto" w:fill="FFFFFF" w:themeFill="background1"/>
            <w:vAlign w:val="bottom"/>
          </w:tcPr>
          <w:p w:rsidR="00BD0F01" w:rsidRPr="003D15C8" w:rsidRDefault="00BD0F01" w:rsidP="00BD0F01">
            <w:pPr>
              <w:spacing w:after="0" w:line="240" w:lineRule="auto"/>
              <w:jc w:val="center"/>
              <w:rPr>
                <w:rFonts w:cs="Calibri"/>
                <w:b/>
                <w:sz w:val="20"/>
              </w:rPr>
            </w:pPr>
            <w:r w:rsidRPr="003D15C8">
              <w:rPr>
                <w:rFonts w:cs="Calibri"/>
                <w:b/>
                <w:sz w:val="20"/>
              </w:rPr>
              <w:t>2016</w:t>
            </w:r>
          </w:p>
        </w:tc>
        <w:tc>
          <w:tcPr>
            <w:tcW w:w="1984" w:type="dxa"/>
            <w:tcBorders>
              <w:top w:val="single" w:sz="4" w:space="0" w:color="auto"/>
            </w:tcBorders>
            <w:shd w:val="clear" w:color="auto" w:fill="FFFFFF" w:themeFill="background1"/>
            <w:vAlign w:val="bottom"/>
          </w:tcPr>
          <w:p w:rsidR="00BD0F01" w:rsidRPr="003D15C8" w:rsidRDefault="00BD0F01" w:rsidP="00BD0F01">
            <w:pPr>
              <w:spacing w:after="0" w:line="240" w:lineRule="auto"/>
              <w:jc w:val="center"/>
              <w:rPr>
                <w:rFonts w:cs="Calibri"/>
                <w:b/>
                <w:sz w:val="20"/>
              </w:rPr>
            </w:pPr>
            <w:r w:rsidRPr="003D15C8">
              <w:rPr>
                <w:rFonts w:cs="Calibri"/>
                <w:b/>
                <w:sz w:val="20"/>
              </w:rPr>
              <w:t>2017</w:t>
            </w:r>
          </w:p>
        </w:tc>
      </w:tr>
      <w:tr w:rsidR="00BD0F01" w:rsidRPr="00BD0F01" w:rsidTr="003D15C8">
        <w:tblPrEx>
          <w:tblCellMar>
            <w:left w:w="0" w:type="dxa"/>
            <w:right w:w="0" w:type="dxa"/>
          </w:tblCellMar>
        </w:tblPrEx>
        <w:trPr>
          <w:trHeight w:val="300"/>
        </w:trPr>
        <w:tc>
          <w:tcPr>
            <w:tcW w:w="4253" w:type="dxa"/>
            <w:shd w:val="clear" w:color="auto" w:fill="FFFFFF" w:themeFill="background1"/>
            <w:noWrap/>
            <w:tcMar>
              <w:top w:w="0" w:type="dxa"/>
              <w:left w:w="70" w:type="dxa"/>
              <w:bottom w:w="0" w:type="dxa"/>
              <w:right w:w="70" w:type="dxa"/>
            </w:tcMar>
            <w:vAlign w:val="bottom"/>
          </w:tcPr>
          <w:p w:rsidR="00BD0F01" w:rsidRPr="003D15C8" w:rsidRDefault="00BD0F01" w:rsidP="00BD0F01">
            <w:pPr>
              <w:spacing w:after="0" w:line="240" w:lineRule="auto"/>
              <w:rPr>
                <w:rFonts w:cs="Calibri"/>
                <w:sz w:val="20"/>
              </w:rPr>
            </w:pPr>
            <w:r w:rsidRPr="003D15C8">
              <w:rPr>
                <w:rFonts w:cs="Calibri"/>
                <w:sz w:val="20"/>
              </w:rPr>
              <w:t>Anmälan negativ händelse eller olycka</w:t>
            </w:r>
          </w:p>
        </w:tc>
        <w:tc>
          <w:tcPr>
            <w:tcW w:w="1984" w:type="dxa"/>
            <w:shd w:val="clear" w:color="auto" w:fill="FFFFFF" w:themeFill="background1"/>
            <w:vAlign w:val="bottom"/>
          </w:tcPr>
          <w:p w:rsidR="00BD0F01" w:rsidRPr="003D15C8" w:rsidRDefault="00BD0F01" w:rsidP="00BD0F01">
            <w:pPr>
              <w:spacing w:after="0" w:line="240" w:lineRule="auto"/>
              <w:jc w:val="center"/>
              <w:rPr>
                <w:rFonts w:cs="Calibri"/>
                <w:sz w:val="20"/>
              </w:rPr>
            </w:pPr>
            <w:r w:rsidRPr="003D15C8">
              <w:rPr>
                <w:rFonts w:cs="Calibri"/>
                <w:sz w:val="20"/>
              </w:rPr>
              <w:t>1</w:t>
            </w:r>
          </w:p>
        </w:tc>
        <w:tc>
          <w:tcPr>
            <w:tcW w:w="1984" w:type="dxa"/>
            <w:shd w:val="clear" w:color="auto" w:fill="FFFFFF" w:themeFill="background1"/>
            <w:vAlign w:val="bottom"/>
          </w:tcPr>
          <w:p w:rsidR="00BD0F01" w:rsidRPr="003D15C8" w:rsidRDefault="00A122AE" w:rsidP="00BD0F01">
            <w:pPr>
              <w:spacing w:after="0" w:line="240" w:lineRule="auto"/>
              <w:jc w:val="center"/>
              <w:rPr>
                <w:rFonts w:cs="Calibri"/>
                <w:sz w:val="20"/>
              </w:rPr>
            </w:pPr>
            <w:r w:rsidRPr="003D15C8">
              <w:rPr>
                <w:rFonts w:cs="Calibri"/>
                <w:sz w:val="20"/>
              </w:rPr>
              <w:t>9</w:t>
            </w:r>
          </w:p>
        </w:tc>
      </w:tr>
      <w:tr w:rsidR="00BD0F01" w:rsidRPr="00BD0F01" w:rsidTr="003D15C8">
        <w:tblPrEx>
          <w:tblCellMar>
            <w:left w:w="0" w:type="dxa"/>
            <w:right w:w="0" w:type="dxa"/>
          </w:tblCellMar>
        </w:tblPrEx>
        <w:trPr>
          <w:trHeight w:val="300"/>
        </w:trPr>
        <w:tc>
          <w:tcPr>
            <w:tcW w:w="4253" w:type="dxa"/>
            <w:shd w:val="clear" w:color="auto" w:fill="FFFFFF" w:themeFill="background1"/>
            <w:noWrap/>
            <w:tcMar>
              <w:top w:w="0" w:type="dxa"/>
              <w:left w:w="70" w:type="dxa"/>
              <w:bottom w:w="0" w:type="dxa"/>
              <w:right w:w="70" w:type="dxa"/>
            </w:tcMar>
            <w:vAlign w:val="bottom"/>
          </w:tcPr>
          <w:p w:rsidR="00BD0F01" w:rsidRPr="003D15C8" w:rsidRDefault="00BD0F01" w:rsidP="00BD0F01">
            <w:pPr>
              <w:spacing w:after="0" w:line="240" w:lineRule="auto"/>
              <w:rPr>
                <w:rFonts w:cs="Calibri"/>
                <w:sz w:val="20"/>
              </w:rPr>
            </w:pPr>
            <w:r w:rsidRPr="003D15C8">
              <w:rPr>
                <w:rFonts w:cs="Calibri"/>
                <w:sz w:val="20"/>
              </w:rPr>
              <w:t>Antal tillbud</w:t>
            </w:r>
          </w:p>
        </w:tc>
        <w:tc>
          <w:tcPr>
            <w:tcW w:w="1984" w:type="dxa"/>
            <w:shd w:val="clear" w:color="auto" w:fill="FFFFFF" w:themeFill="background1"/>
            <w:vAlign w:val="bottom"/>
          </w:tcPr>
          <w:p w:rsidR="00BD0F01" w:rsidRPr="003D15C8" w:rsidRDefault="00BD0F01" w:rsidP="00BD0F01">
            <w:pPr>
              <w:spacing w:after="0" w:line="240" w:lineRule="auto"/>
              <w:jc w:val="center"/>
              <w:rPr>
                <w:rFonts w:cs="Calibri"/>
                <w:sz w:val="20"/>
              </w:rPr>
            </w:pPr>
            <w:r w:rsidRPr="003D15C8">
              <w:rPr>
                <w:rFonts w:cs="Calibri"/>
                <w:sz w:val="20"/>
              </w:rPr>
              <w:t>0</w:t>
            </w:r>
          </w:p>
        </w:tc>
        <w:tc>
          <w:tcPr>
            <w:tcW w:w="1984" w:type="dxa"/>
            <w:shd w:val="clear" w:color="auto" w:fill="FFFFFF" w:themeFill="background1"/>
            <w:vAlign w:val="bottom"/>
          </w:tcPr>
          <w:p w:rsidR="00BD0F01" w:rsidRPr="003D15C8" w:rsidRDefault="00EB2495" w:rsidP="00BD0F01">
            <w:pPr>
              <w:spacing w:after="0" w:line="240" w:lineRule="auto"/>
              <w:jc w:val="center"/>
              <w:rPr>
                <w:rFonts w:cs="Calibri"/>
                <w:sz w:val="20"/>
              </w:rPr>
            </w:pPr>
            <w:r w:rsidRPr="003D15C8">
              <w:rPr>
                <w:rFonts w:cs="Calibri"/>
                <w:sz w:val="20"/>
              </w:rPr>
              <w:t>1</w:t>
            </w:r>
          </w:p>
        </w:tc>
      </w:tr>
      <w:tr w:rsidR="00BD0F01" w:rsidRPr="00BD0F01" w:rsidTr="003D15C8">
        <w:tblPrEx>
          <w:tblCellMar>
            <w:left w:w="0" w:type="dxa"/>
            <w:right w:w="0" w:type="dxa"/>
          </w:tblCellMar>
        </w:tblPrEx>
        <w:trPr>
          <w:trHeight w:val="300"/>
        </w:trPr>
        <w:tc>
          <w:tcPr>
            <w:tcW w:w="4253" w:type="dxa"/>
            <w:shd w:val="clear" w:color="auto" w:fill="FFFFFF" w:themeFill="background1"/>
            <w:noWrap/>
            <w:tcMar>
              <w:top w:w="0" w:type="dxa"/>
              <w:left w:w="70" w:type="dxa"/>
              <w:bottom w:w="0" w:type="dxa"/>
              <w:right w:w="70" w:type="dxa"/>
            </w:tcMar>
            <w:vAlign w:val="bottom"/>
          </w:tcPr>
          <w:p w:rsidR="00BD0F01" w:rsidRPr="003D15C8" w:rsidRDefault="00BD0F01" w:rsidP="00BD0F01">
            <w:pPr>
              <w:spacing w:after="0" w:line="240" w:lineRule="auto"/>
              <w:rPr>
                <w:rFonts w:cs="Calibri"/>
                <w:sz w:val="20"/>
              </w:rPr>
            </w:pPr>
            <w:r w:rsidRPr="003D15C8">
              <w:rPr>
                <w:rFonts w:cs="Calibri"/>
                <w:sz w:val="20"/>
              </w:rPr>
              <w:t>Antal anmälda risker</w:t>
            </w:r>
          </w:p>
        </w:tc>
        <w:tc>
          <w:tcPr>
            <w:tcW w:w="1984" w:type="dxa"/>
            <w:shd w:val="clear" w:color="auto" w:fill="FFFFFF" w:themeFill="background1"/>
            <w:vAlign w:val="bottom"/>
          </w:tcPr>
          <w:p w:rsidR="00BD0F01" w:rsidRPr="003D15C8" w:rsidRDefault="00BD0F01" w:rsidP="00BD0F01">
            <w:pPr>
              <w:spacing w:after="0" w:line="240" w:lineRule="auto"/>
              <w:jc w:val="center"/>
              <w:rPr>
                <w:rFonts w:cs="Calibri"/>
                <w:sz w:val="20"/>
              </w:rPr>
            </w:pPr>
            <w:r w:rsidRPr="003D15C8">
              <w:rPr>
                <w:rFonts w:cs="Calibri"/>
                <w:sz w:val="20"/>
              </w:rPr>
              <w:t>0</w:t>
            </w:r>
          </w:p>
        </w:tc>
        <w:tc>
          <w:tcPr>
            <w:tcW w:w="1984" w:type="dxa"/>
            <w:shd w:val="clear" w:color="auto" w:fill="FFFFFF" w:themeFill="background1"/>
            <w:vAlign w:val="bottom"/>
          </w:tcPr>
          <w:p w:rsidR="00BD0F01" w:rsidRPr="003D15C8" w:rsidRDefault="00EB2495" w:rsidP="00BD0F01">
            <w:pPr>
              <w:spacing w:after="0" w:line="240" w:lineRule="auto"/>
              <w:jc w:val="center"/>
              <w:rPr>
                <w:rFonts w:cs="Calibri"/>
                <w:sz w:val="20"/>
              </w:rPr>
            </w:pPr>
            <w:r w:rsidRPr="003D15C8">
              <w:rPr>
                <w:rFonts w:cs="Calibri"/>
                <w:sz w:val="20"/>
              </w:rPr>
              <w:t>0</w:t>
            </w:r>
          </w:p>
        </w:tc>
      </w:tr>
      <w:tr w:rsidR="00BD0F01" w:rsidRPr="00BD0F01" w:rsidTr="003D15C8">
        <w:tblPrEx>
          <w:tblCellMar>
            <w:left w:w="0" w:type="dxa"/>
            <w:right w:w="0" w:type="dxa"/>
          </w:tblCellMar>
        </w:tblPrEx>
        <w:trPr>
          <w:trHeight w:val="300"/>
        </w:trPr>
        <w:tc>
          <w:tcPr>
            <w:tcW w:w="4253" w:type="dxa"/>
            <w:shd w:val="clear" w:color="auto" w:fill="FFFFFF" w:themeFill="background1"/>
            <w:noWrap/>
            <w:tcMar>
              <w:top w:w="0" w:type="dxa"/>
              <w:left w:w="70" w:type="dxa"/>
              <w:bottom w:w="0" w:type="dxa"/>
              <w:right w:w="70" w:type="dxa"/>
            </w:tcMar>
            <w:vAlign w:val="bottom"/>
          </w:tcPr>
          <w:p w:rsidR="00BD0F01" w:rsidRPr="003D15C8" w:rsidRDefault="00BD0F01" w:rsidP="00BD0F01">
            <w:pPr>
              <w:spacing w:after="0" w:line="240" w:lineRule="auto"/>
              <w:rPr>
                <w:rFonts w:cs="Calibri"/>
                <w:sz w:val="20"/>
              </w:rPr>
            </w:pPr>
            <w:r w:rsidRPr="003D15C8">
              <w:rPr>
                <w:rFonts w:cs="Calibri"/>
                <w:sz w:val="20"/>
              </w:rPr>
              <w:t>Totalt</w:t>
            </w:r>
          </w:p>
        </w:tc>
        <w:tc>
          <w:tcPr>
            <w:tcW w:w="1984" w:type="dxa"/>
            <w:shd w:val="clear" w:color="auto" w:fill="FFFFFF" w:themeFill="background1"/>
            <w:vAlign w:val="bottom"/>
          </w:tcPr>
          <w:p w:rsidR="00BD0F01" w:rsidRPr="003D15C8" w:rsidRDefault="00BD0F01" w:rsidP="00BD0F01">
            <w:pPr>
              <w:spacing w:after="0" w:line="240" w:lineRule="auto"/>
              <w:jc w:val="center"/>
              <w:rPr>
                <w:rFonts w:cs="Calibri"/>
                <w:sz w:val="20"/>
              </w:rPr>
            </w:pPr>
            <w:r w:rsidRPr="003D15C8">
              <w:rPr>
                <w:rFonts w:cs="Calibri"/>
                <w:sz w:val="20"/>
              </w:rPr>
              <w:t>1</w:t>
            </w:r>
          </w:p>
        </w:tc>
        <w:tc>
          <w:tcPr>
            <w:tcW w:w="1984" w:type="dxa"/>
            <w:shd w:val="clear" w:color="auto" w:fill="FFFFFF" w:themeFill="background1"/>
            <w:vAlign w:val="bottom"/>
          </w:tcPr>
          <w:p w:rsidR="00BD0F01" w:rsidRPr="003D15C8" w:rsidRDefault="00AE12A2" w:rsidP="00BD0F01">
            <w:pPr>
              <w:spacing w:after="0" w:line="240" w:lineRule="auto"/>
              <w:jc w:val="center"/>
              <w:rPr>
                <w:rFonts w:cs="Calibri"/>
                <w:sz w:val="20"/>
              </w:rPr>
            </w:pPr>
            <w:r>
              <w:rPr>
                <w:rFonts w:cs="Calibri"/>
                <w:sz w:val="20"/>
              </w:rPr>
              <w:t>10</w:t>
            </w:r>
          </w:p>
        </w:tc>
      </w:tr>
    </w:tbl>
    <w:p w:rsidR="00C16638" w:rsidRPr="00BD0F01" w:rsidRDefault="0035735B" w:rsidP="0035735B">
      <w:pPr>
        <w:spacing w:before="240" w:after="0"/>
        <w:rPr>
          <w:i/>
        </w:rPr>
      </w:pPr>
      <w:r>
        <w:t>S</w:t>
      </w:r>
      <w:r w:rsidR="001D3FCC" w:rsidRPr="00BD0F01">
        <w:t xml:space="preserve">jukfrånvaron har minskat till </w:t>
      </w:r>
      <w:r w:rsidR="001D3FCC">
        <w:t>5,2</w:t>
      </w:r>
      <w:r w:rsidR="001D3FCC" w:rsidRPr="00BD0F01">
        <w:t xml:space="preserve"> %</w:t>
      </w:r>
      <w:r w:rsidR="004A605C">
        <w:t>,</w:t>
      </w:r>
      <w:r w:rsidR="00A0109B">
        <w:t xml:space="preserve"> </w:t>
      </w:r>
      <w:r w:rsidR="001D3FCC" w:rsidRPr="00BD0F01">
        <w:t xml:space="preserve">en minskning </w:t>
      </w:r>
      <w:r w:rsidR="000C1B79">
        <w:t xml:space="preserve">med </w:t>
      </w:r>
      <w:r w:rsidR="001D3FCC">
        <w:t>2,1</w:t>
      </w:r>
      <w:r w:rsidR="000C1B79">
        <w:t xml:space="preserve"> procentenheter</w:t>
      </w:r>
      <w:r w:rsidR="004A605C">
        <w:t>,</w:t>
      </w:r>
      <w:r w:rsidR="001D3FCC">
        <w:t xml:space="preserve"> och k</w:t>
      </w:r>
      <w:r w:rsidR="001D3FCC" w:rsidRPr="00BD0F01">
        <w:t xml:space="preserve">orttidssjukfrånvaron är låg. </w:t>
      </w:r>
      <w:r w:rsidR="00301C81">
        <w:t>Både påbörjande rehabiliteringsärenden och antal som avslutats</w:t>
      </w:r>
      <w:r w:rsidR="00301C81" w:rsidRPr="00BD0F01">
        <w:t xml:space="preserve"> </w:t>
      </w:r>
      <w:r w:rsidR="003D15C8">
        <w:t>ha</w:t>
      </w:r>
      <w:r w:rsidR="00301C81" w:rsidRPr="00BD0F01">
        <w:t>r minskat</w:t>
      </w:r>
      <w:r w:rsidR="00301C81">
        <w:t xml:space="preserve">. </w:t>
      </w:r>
      <w:r>
        <w:t>F</w:t>
      </w:r>
      <w:r w:rsidR="00055075">
        <w:t>r</w:t>
      </w:r>
      <w:r w:rsidR="00C16638" w:rsidRPr="00BD0F01">
        <w:t xml:space="preserve">isknärvaron har </w:t>
      </w:r>
      <w:r w:rsidR="00C16638">
        <w:t xml:space="preserve">ökat 11,3 </w:t>
      </w:r>
      <w:r w:rsidR="000C1B79">
        <w:t>procentenheter</w:t>
      </w:r>
      <w:r w:rsidR="00C16638" w:rsidRPr="00BD0F01">
        <w:t xml:space="preserve">. </w:t>
      </w:r>
    </w:p>
    <w:p w:rsidR="009B704D" w:rsidRDefault="009B704D" w:rsidP="009B704D">
      <w:pPr>
        <w:pStyle w:val="Rubrik2"/>
      </w:pPr>
      <w:r w:rsidRPr="00B85B96">
        <w:t>Åtgärder</w:t>
      </w:r>
    </w:p>
    <w:p w:rsidR="00D46207" w:rsidRPr="004A605C" w:rsidRDefault="00264FD2" w:rsidP="00E12EE7">
      <w:pPr>
        <w:pStyle w:val="Brdtext"/>
        <w:spacing w:line="276" w:lineRule="auto"/>
        <w:rPr>
          <w:rFonts w:eastAsia="Times New Roman" w:cs="Segoe UI"/>
          <w:lang w:eastAsia="sv-SE"/>
        </w:rPr>
      </w:pPr>
      <w:r w:rsidRPr="004A605C">
        <w:rPr>
          <w:rFonts w:eastAsia="Times New Roman" w:cs="Segoe UI"/>
          <w:lang w:eastAsia="sv-SE"/>
        </w:rPr>
        <w:t>F</w:t>
      </w:r>
      <w:r w:rsidR="00E12EE7" w:rsidRPr="004A605C">
        <w:rPr>
          <w:rFonts w:eastAsia="Times New Roman" w:cs="Segoe UI"/>
          <w:lang w:eastAsia="sv-SE"/>
        </w:rPr>
        <w:t xml:space="preserve">lera säkerhetshöjande åtgärder </w:t>
      </w:r>
      <w:r w:rsidR="00DE525C" w:rsidRPr="004A605C">
        <w:rPr>
          <w:rFonts w:eastAsia="Times New Roman" w:cs="Segoe UI"/>
          <w:lang w:eastAsia="sv-SE"/>
        </w:rPr>
        <w:t>på</w:t>
      </w:r>
      <w:r w:rsidRPr="004A605C">
        <w:rPr>
          <w:rFonts w:eastAsia="Times New Roman" w:cs="Segoe UI"/>
          <w:lang w:eastAsia="sv-SE"/>
        </w:rPr>
        <w:t>går.</w:t>
      </w:r>
      <w:r w:rsidR="00E12EE7" w:rsidRPr="004A605C">
        <w:rPr>
          <w:rFonts w:eastAsia="Times New Roman" w:cs="Segoe UI"/>
          <w:lang w:eastAsia="sv-SE"/>
        </w:rPr>
        <w:t xml:space="preserve"> </w:t>
      </w:r>
    </w:p>
    <w:p w:rsidR="00264FD2" w:rsidRPr="004A605C" w:rsidRDefault="005B57F3" w:rsidP="00264FD2">
      <w:pPr>
        <w:pStyle w:val="Brdtext"/>
        <w:spacing w:line="276" w:lineRule="auto"/>
        <w:rPr>
          <w:rFonts w:eastAsia="Times New Roman" w:cs="Segoe UI"/>
          <w:lang w:eastAsia="sv-SE"/>
        </w:rPr>
      </w:pPr>
      <w:r>
        <w:rPr>
          <w:rFonts w:eastAsia="Times New Roman" w:cs="Segoe UI"/>
          <w:lang w:eastAsia="sv-SE"/>
        </w:rPr>
        <w:t>L</w:t>
      </w:r>
      <w:r w:rsidR="00E12EE7" w:rsidRPr="004A605C">
        <w:rPr>
          <w:rFonts w:eastAsia="Times New Roman" w:cs="Segoe UI"/>
          <w:lang w:eastAsia="sv-SE"/>
        </w:rPr>
        <w:t>okalöversyn</w:t>
      </w:r>
      <w:r>
        <w:rPr>
          <w:rFonts w:eastAsia="Times New Roman" w:cs="Segoe UI"/>
          <w:lang w:eastAsia="sv-SE"/>
        </w:rPr>
        <w:t>en</w:t>
      </w:r>
      <w:r w:rsidR="00264FD2" w:rsidRPr="004A605C">
        <w:rPr>
          <w:rFonts w:eastAsia="Times New Roman" w:cs="Segoe UI"/>
          <w:lang w:eastAsia="sv-SE"/>
        </w:rPr>
        <w:t xml:space="preserve"> f</w:t>
      </w:r>
      <w:r w:rsidR="00DE525C" w:rsidRPr="004A605C">
        <w:rPr>
          <w:rFonts w:eastAsia="Times New Roman" w:cs="Segoe UI"/>
          <w:lang w:eastAsia="sv-SE"/>
        </w:rPr>
        <w:t>or</w:t>
      </w:r>
      <w:r w:rsidR="00E12EE7" w:rsidRPr="004A605C">
        <w:rPr>
          <w:rFonts w:eastAsia="Times New Roman" w:cs="Segoe UI"/>
          <w:lang w:eastAsia="sv-SE"/>
        </w:rPr>
        <w:t xml:space="preserve">tsätter </w:t>
      </w:r>
      <w:r>
        <w:rPr>
          <w:rFonts w:eastAsia="Times New Roman" w:cs="Segoe UI"/>
          <w:lang w:eastAsia="sv-SE"/>
        </w:rPr>
        <w:t>med att s</w:t>
      </w:r>
      <w:r w:rsidR="00E12EE7" w:rsidRPr="004A605C">
        <w:rPr>
          <w:rFonts w:eastAsia="Times New Roman" w:cs="Segoe UI"/>
          <w:lang w:eastAsia="sv-SE"/>
        </w:rPr>
        <w:t xml:space="preserve">e </w:t>
      </w:r>
      <w:r w:rsidR="001D3FCC" w:rsidRPr="004A605C">
        <w:rPr>
          <w:rFonts w:eastAsia="Times New Roman" w:cs="Segoe UI"/>
          <w:lang w:eastAsia="sv-SE"/>
        </w:rPr>
        <w:t xml:space="preserve">över </w:t>
      </w:r>
      <w:r w:rsidR="00E12EE7" w:rsidRPr="004A605C">
        <w:rPr>
          <w:rFonts w:eastAsia="Times New Roman" w:cs="Segoe UI"/>
          <w:lang w:eastAsia="sv-SE"/>
        </w:rPr>
        <w:t xml:space="preserve">behov av </w:t>
      </w:r>
      <w:r w:rsidR="00D46207" w:rsidRPr="004A605C">
        <w:rPr>
          <w:rFonts w:eastAsia="Times New Roman" w:cs="Segoe UI"/>
          <w:lang w:eastAsia="sv-SE"/>
        </w:rPr>
        <w:t>förtätning</w:t>
      </w:r>
      <w:r w:rsidR="00DE525C" w:rsidRPr="004A605C">
        <w:rPr>
          <w:rFonts w:eastAsia="Times New Roman" w:cs="Segoe UI"/>
          <w:lang w:eastAsia="sv-SE"/>
        </w:rPr>
        <w:t xml:space="preserve"> och ombyggnationer på längre sikt</w:t>
      </w:r>
      <w:r w:rsidR="00D46207" w:rsidRPr="004A605C">
        <w:rPr>
          <w:rFonts w:eastAsia="Times New Roman" w:cs="Segoe UI"/>
          <w:lang w:eastAsia="sv-SE"/>
        </w:rPr>
        <w:t>.</w:t>
      </w:r>
      <w:r w:rsidR="00264FD2" w:rsidRPr="004A605C">
        <w:rPr>
          <w:rFonts w:eastAsia="Times New Roman" w:cs="Segoe UI"/>
          <w:lang w:eastAsia="sv-SE"/>
        </w:rPr>
        <w:t xml:space="preserve"> </w:t>
      </w:r>
    </w:p>
    <w:p w:rsidR="00AE12A2" w:rsidRPr="00AE12A2" w:rsidRDefault="0035735B" w:rsidP="00AE12A2">
      <w:pPr>
        <w:pStyle w:val="Rubrik2"/>
        <w:rPr>
          <w:rStyle w:val="Rubrik2Char"/>
          <w:rFonts w:eastAsia="Calibri"/>
          <w:b/>
        </w:rPr>
      </w:pPr>
      <w:r w:rsidRPr="00AE12A2">
        <w:rPr>
          <w:rStyle w:val="Rubrik2Char"/>
          <w:b/>
        </w:rPr>
        <w:t>Sa</w:t>
      </w:r>
      <w:r w:rsidR="009B704D" w:rsidRPr="00AE12A2">
        <w:rPr>
          <w:rStyle w:val="Rubrik2Char"/>
          <w:b/>
        </w:rPr>
        <w:t>mlad bedömning</w:t>
      </w:r>
      <w:r w:rsidR="00163E0E" w:rsidRPr="00AE12A2">
        <w:rPr>
          <w:rStyle w:val="Rubrik2Char"/>
          <w:b/>
        </w:rPr>
        <w:t xml:space="preserve"> </w:t>
      </w:r>
    </w:p>
    <w:p w:rsidR="009B704D" w:rsidRPr="00264FD2" w:rsidRDefault="00264FD2" w:rsidP="00264FD2">
      <w:pPr>
        <w:pStyle w:val="Brdtext"/>
        <w:spacing w:line="276" w:lineRule="auto"/>
      </w:pPr>
      <w:r w:rsidRPr="00264FD2">
        <w:t>D</w:t>
      </w:r>
      <w:r w:rsidR="00DE525C" w:rsidRPr="00264FD2">
        <w:t xml:space="preserve">et systematiska arbetsmiljöarbetet med insatser för en hälsofrämjande arbetsplats har </w:t>
      </w:r>
      <w:r w:rsidR="00AD6ECE">
        <w:t>fått avsedd</w:t>
      </w:r>
      <w:r w:rsidR="007A57F8" w:rsidRPr="00264FD2">
        <w:t xml:space="preserve"> </w:t>
      </w:r>
      <w:r w:rsidR="00DE525C" w:rsidRPr="00264FD2">
        <w:t>effekt</w:t>
      </w:r>
      <w:r w:rsidR="007A57F8" w:rsidRPr="00264FD2">
        <w:t xml:space="preserve">. </w:t>
      </w:r>
      <w:r w:rsidR="00DE525C" w:rsidRPr="00264FD2">
        <w:t xml:space="preserve">Flera viktiga förutsättningar såsom förstärkt organisation, kompetensförsörjningsplan och </w:t>
      </w:r>
      <w:r w:rsidR="007A57F8" w:rsidRPr="00264FD2">
        <w:t xml:space="preserve">arbetet med en </w:t>
      </w:r>
      <w:r w:rsidR="00DE525C" w:rsidRPr="00264FD2">
        <w:t>säker</w:t>
      </w:r>
      <w:r w:rsidR="007A57F8" w:rsidRPr="00264FD2">
        <w:t xml:space="preserve"> arbetsplats</w:t>
      </w:r>
      <w:r w:rsidR="00DE525C" w:rsidRPr="00264FD2">
        <w:t xml:space="preserve"> ge</w:t>
      </w:r>
      <w:r w:rsidR="004A605C">
        <w:t>r</w:t>
      </w:r>
      <w:r w:rsidR="00DE525C" w:rsidRPr="00264FD2">
        <w:t xml:space="preserve"> en god grund för fortsatt arbete att behålla en säker och attraktiv arbetsplats. </w:t>
      </w:r>
    </w:p>
    <w:p w:rsidR="009B704D" w:rsidRPr="00B917B7" w:rsidRDefault="009B704D" w:rsidP="009B704D">
      <w:pPr>
        <w:pStyle w:val="Rubrik1"/>
      </w:pPr>
      <w:r w:rsidRPr="00B917B7">
        <w:lastRenderedPageBreak/>
        <w:t>Ekonomiperspektiv</w:t>
      </w:r>
    </w:p>
    <w:p w:rsidR="009B704D" w:rsidRPr="00B917B7" w:rsidRDefault="009B704D" w:rsidP="009B704D">
      <w:pPr>
        <w:pStyle w:val="Rubrik2"/>
        <w:numPr>
          <w:ilvl w:val="1"/>
          <w:numId w:val="0"/>
        </w:numPr>
        <w:ind w:left="851" w:hanging="851"/>
      </w:pPr>
      <w:r>
        <w:t>A</w:t>
      </w:r>
      <w:r w:rsidRPr="00B917B7">
        <w:t xml:space="preserve">rbetet mot mål och uppdrag </w:t>
      </w:r>
      <w:r>
        <w:t>– resultat och analys av genomförda aktiviteter</w:t>
      </w:r>
    </w:p>
    <w:p w:rsidR="00610FC5" w:rsidRPr="00D45B7F" w:rsidRDefault="00610FC5" w:rsidP="00610FC5">
      <w:pPr>
        <w:pStyle w:val="Rubrik3"/>
        <w:numPr>
          <w:ilvl w:val="2"/>
          <w:numId w:val="0"/>
        </w:numPr>
        <w:ind w:left="851" w:hanging="851"/>
      </w:pPr>
      <w:bookmarkStart w:id="5" w:name="_Toc472420624"/>
      <w:r w:rsidRPr="00D45B7F">
        <w:t>Årets resultat – översikt</w:t>
      </w:r>
      <w:bookmarkEnd w:id="5"/>
    </w:p>
    <w:p w:rsidR="009D488B" w:rsidRPr="00610FC5" w:rsidRDefault="00610FC5" w:rsidP="00610FC5">
      <w:r w:rsidRPr="00610FC5">
        <w:t>Årets redovisade resultat är 0 tkr. Resultat före återbetalning till kunder är 3 416 tkr.</w:t>
      </w:r>
    </w:p>
    <w:p w:rsidR="00E2459E" w:rsidRDefault="00610FC5" w:rsidP="009D488B">
      <w:pPr>
        <w:pStyle w:val="Brdtext"/>
        <w:rPr>
          <w:i/>
          <w:color w:val="FF0000"/>
        </w:rPr>
      </w:pPr>
      <w:r>
        <w:rPr>
          <w:noProof/>
          <w:lang w:eastAsia="sv-SE"/>
        </w:rPr>
        <w:drawing>
          <wp:inline distT="0" distB="0" distL="0" distR="0" wp14:anchorId="7031C5EC" wp14:editId="4082CF78">
            <wp:extent cx="4488672" cy="1981200"/>
            <wp:effectExtent l="0" t="0" r="762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88672" cy="1981200"/>
                    </a:xfrm>
                    <a:prstGeom prst="rect">
                      <a:avLst/>
                    </a:prstGeom>
                  </pic:spPr>
                </pic:pic>
              </a:graphicData>
            </a:graphic>
          </wp:inline>
        </w:drawing>
      </w:r>
    </w:p>
    <w:tbl>
      <w:tblPr>
        <w:tblW w:w="0" w:type="auto"/>
        <w:tblInd w:w="108" w:type="dxa"/>
        <w:tblLook w:val="04A0" w:firstRow="1" w:lastRow="0" w:firstColumn="1" w:lastColumn="0" w:noHBand="0" w:noVBand="1"/>
      </w:tblPr>
      <w:tblGrid>
        <w:gridCol w:w="2863"/>
        <w:gridCol w:w="1692"/>
        <w:gridCol w:w="1404"/>
        <w:gridCol w:w="278"/>
        <w:gridCol w:w="1701"/>
      </w:tblGrid>
      <w:tr w:rsidR="00610FC5" w:rsidRPr="009D488B" w:rsidTr="00610FC5">
        <w:trPr>
          <w:trHeight w:val="352"/>
        </w:trPr>
        <w:tc>
          <w:tcPr>
            <w:tcW w:w="2863" w:type="dxa"/>
            <w:shd w:val="clear" w:color="auto" w:fill="DDD9C3"/>
          </w:tcPr>
          <w:p w:rsidR="00610FC5" w:rsidRPr="00610FC5" w:rsidRDefault="00610FC5" w:rsidP="00610FC5">
            <w:pPr>
              <w:pStyle w:val="Brdtext"/>
              <w:ind w:left="459" w:hanging="459"/>
              <w:rPr>
                <w:rFonts w:asciiTheme="minorHAnsi" w:hAnsiTheme="minorHAnsi" w:cs="Calibri"/>
                <w:color w:val="FF0000"/>
                <w:sz w:val="18"/>
                <w:szCs w:val="18"/>
              </w:rPr>
            </w:pPr>
          </w:p>
        </w:tc>
        <w:tc>
          <w:tcPr>
            <w:tcW w:w="1692" w:type="dxa"/>
            <w:shd w:val="clear" w:color="auto" w:fill="DDD9C3"/>
          </w:tcPr>
          <w:p w:rsidR="00610FC5" w:rsidRPr="00610FC5" w:rsidRDefault="00610FC5" w:rsidP="00610FC5">
            <w:pPr>
              <w:pStyle w:val="Brdtext"/>
              <w:jc w:val="center"/>
              <w:rPr>
                <w:rFonts w:asciiTheme="minorHAnsi" w:hAnsiTheme="minorHAnsi" w:cs="Calibri"/>
                <w:sz w:val="18"/>
                <w:szCs w:val="18"/>
              </w:rPr>
            </w:pPr>
            <w:r w:rsidRPr="00610FC5">
              <w:rPr>
                <w:rFonts w:asciiTheme="minorHAnsi" w:hAnsiTheme="minorHAnsi" w:cs="Calibri"/>
                <w:sz w:val="18"/>
                <w:szCs w:val="18"/>
              </w:rPr>
              <w:t>Bokslut 2016 tkr</w:t>
            </w:r>
          </w:p>
        </w:tc>
        <w:tc>
          <w:tcPr>
            <w:tcW w:w="1682" w:type="dxa"/>
            <w:gridSpan w:val="2"/>
            <w:shd w:val="clear" w:color="auto" w:fill="DDD9C3"/>
          </w:tcPr>
          <w:p w:rsidR="00610FC5" w:rsidRPr="00610FC5" w:rsidRDefault="00610FC5" w:rsidP="00610FC5">
            <w:pPr>
              <w:pStyle w:val="Brdtext"/>
              <w:jc w:val="center"/>
              <w:rPr>
                <w:rFonts w:asciiTheme="minorHAnsi" w:hAnsiTheme="minorHAnsi" w:cs="Calibri"/>
                <w:sz w:val="18"/>
                <w:szCs w:val="18"/>
              </w:rPr>
            </w:pPr>
            <w:r w:rsidRPr="00610FC5">
              <w:rPr>
                <w:rFonts w:asciiTheme="minorHAnsi" w:hAnsiTheme="minorHAnsi" w:cs="Calibri"/>
                <w:sz w:val="18"/>
                <w:szCs w:val="18"/>
              </w:rPr>
              <w:t>Budget 2017 tkr</w:t>
            </w:r>
          </w:p>
        </w:tc>
        <w:tc>
          <w:tcPr>
            <w:tcW w:w="1701" w:type="dxa"/>
            <w:shd w:val="clear" w:color="auto" w:fill="DDD9C3"/>
          </w:tcPr>
          <w:p w:rsidR="00610FC5" w:rsidRPr="00610FC5" w:rsidRDefault="00610FC5" w:rsidP="00610FC5">
            <w:pPr>
              <w:pStyle w:val="Brdtext"/>
              <w:jc w:val="center"/>
              <w:rPr>
                <w:rFonts w:asciiTheme="minorHAnsi" w:hAnsiTheme="minorHAnsi" w:cs="Calibri"/>
                <w:color w:val="FF0000"/>
                <w:sz w:val="18"/>
                <w:szCs w:val="18"/>
              </w:rPr>
            </w:pPr>
            <w:r w:rsidRPr="00610FC5">
              <w:rPr>
                <w:rFonts w:asciiTheme="minorHAnsi" w:hAnsiTheme="minorHAnsi" w:cs="Calibri"/>
                <w:sz w:val="18"/>
                <w:szCs w:val="18"/>
              </w:rPr>
              <w:t>Bokslut 2017 tkr</w:t>
            </w: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cs="Calibri"/>
                <w:b/>
                <w:sz w:val="18"/>
                <w:szCs w:val="18"/>
              </w:rPr>
            </w:pPr>
            <w:r w:rsidRPr="00610FC5">
              <w:rPr>
                <w:rFonts w:asciiTheme="minorHAnsi" w:hAnsiTheme="minorHAnsi" w:cs="Calibri"/>
                <w:b/>
                <w:sz w:val="18"/>
                <w:szCs w:val="18"/>
              </w:rPr>
              <w:t>INTÄKTER</w:t>
            </w:r>
          </w:p>
        </w:tc>
        <w:tc>
          <w:tcPr>
            <w:tcW w:w="1692" w:type="dxa"/>
            <w:shd w:val="clear" w:color="auto" w:fill="auto"/>
          </w:tcPr>
          <w:p w:rsidR="00610FC5" w:rsidRPr="00610FC5" w:rsidRDefault="00610FC5" w:rsidP="00610FC5">
            <w:pPr>
              <w:pStyle w:val="Brdtext"/>
              <w:jc w:val="center"/>
              <w:rPr>
                <w:rFonts w:asciiTheme="minorHAnsi" w:hAnsiTheme="minorHAnsi"/>
                <w:sz w:val="18"/>
                <w:szCs w:val="18"/>
              </w:rPr>
            </w:pPr>
          </w:p>
        </w:tc>
        <w:tc>
          <w:tcPr>
            <w:tcW w:w="1404" w:type="dxa"/>
            <w:shd w:val="clear" w:color="auto" w:fill="auto"/>
          </w:tcPr>
          <w:p w:rsidR="00610FC5" w:rsidRPr="00610FC5" w:rsidRDefault="00610FC5" w:rsidP="00610FC5">
            <w:pPr>
              <w:pStyle w:val="Brdtext"/>
              <w:jc w:val="center"/>
              <w:rPr>
                <w:rFonts w:asciiTheme="minorHAnsi" w:hAnsiTheme="minorHAnsi"/>
                <w:sz w:val="18"/>
                <w:szCs w:val="18"/>
              </w:rPr>
            </w:pPr>
          </w:p>
        </w:tc>
        <w:tc>
          <w:tcPr>
            <w:tcW w:w="1979" w:type="dxa"/>
            <w:gridSpan w:val="2"/>
            <w:shd w:val="clear" w:color="auto" w:fill="auto"/>
          </w:tcPr>
          <w:p w:rsidR="00610FC5" w:rsidRPr="00610FC5" w:rsidRDefault="00610FC5" w:rsidP="00610FC5">
            <w:pPr>
              <w:pStyle w:val="Brdtext"/>
              <w:jc w:val="center"/>
              <w:rPr>
                <w:rFonts w:asciiTheme="minorHAnsi" w:hAnsiTheme="minorHAnsi"/>
                <w:color w:val="FF0000"/>
                <w:sz w:val="18"/>
                <w:szCs w:val="18"/>
              </w:rPr>
            </w:pP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Hyra</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92 504</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98 026</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98 055</w:t>
            </w: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Återbetalning av resultat</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-2 949</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0</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-3 416</w:t>
            </w: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Försäljning</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11 596</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12 369</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12 238</w:t>
            </w: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Egenavgifter</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322</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300</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330</w:t>
            </w: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Serviceavtal</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2 836</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3 118</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2 370</w:t>
            </w: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Inkontinenssamordning</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922</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951</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951</w:t>
            </w: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Övriga verksamhetsintäkter</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2 203</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1 457</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2 182</w:t>
            </w: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cs="Calibri"/>
                <w:b/>
                <w:sz w:val="18"/>
                <w:szCs w:val="18"/>
              </w:rPr>
            </w:pPr>
            <w:r w:rsidRPr="00610FC5">
              <w:rPr>
                <w:rFonts w:asciiTheme="minorHAnsi" w:hAnsiTheme="minorHAnsi" w:cs="Calibri"/>
                <w:b/>
                <w:sz w:val="18"/>
                <w:szCs w:val="18"/>
              </w:rPr>
              <w:t>SUMMA INTÄKTER</w:t>
            </w:r>
          </w:p>
        </w:tc>
        <w:tc>
          <w:tcPr>
            <w:tcW w:w="1692" w:type="dxa"/>
            <w:shd w:val="clear" w:color="auto" w:fill="auto"/>
          </w:tcPr>
          <w:p w:rsidR="00610FC5" w:rsidRPr="00610FC5" w:rsidRDefault="00610FC5" w:rsidP="00610FC5">
            <w:pPr>
              <w:jc w:val="right"/>
              <w:rPr>
                <w:rFonts w:asciiTheme="minorHAnsi" w:hAnsiTheme="minorHAnsi"/>
                <w:b/>
                <w:sz w:val="18"/>
                <w:szCs w:val="18"/>
              </w:rPr>
            </w:pPr>
            <w:r w:rsidRPr="00610FC5">
              <w:rPr>
                <w:rFonts w:asciiTheme="minorHAnsi" w:hAnsiTheme="minorHAnsi"/>
                <w:b/>
                <w:sz w:val="18"/>
                <w:szCs w:val="18"/>
              </w:rPr>
              <w:t>107 434</w:t>
            </w:r>
          </w:p>
        </w:tc>
        <w:tc>
          <w:tcPr>
            <w:tcW w:w="1404" w:type="dxa"/>
            <w:shd w:val="clear" w:color="auto" w:fill="auto"/>
          </w:tcPr>
          <w:p w:rsidR="00610FC5" w:rsidRPr="00610FC5" w:rsidRDefault="00610FC5" w:rsidP="00610FC5">
            <w:pPr>
              <w:jc w:val="right"/>
              <w:rPr>
                <w:rFonts w:asciiTheme="minorHAnsi" w:hAnsiTheme="minorHAnsi"/>
                <w:b/>
                <w:sz w:val="18"/>
                <w:szCs w:val="18"/>
              </w:rPr>
            </w:pPr>
            <w:r w:rsidRPr="00610FC5">
              <w:rPr>
                <w:rFonts w:asciiTheme="minorHAnsi" w:hAnsiTheme="minorHAnsi"/>
                <w:b/>
                <w:sz w:val="18"/>
                <w:szCs w:val="18"/>
              </w:rPr>
              <w:t>116 221</w:t>
            </w:r>
          </w:p>
        </w:tc>
        <w:tc>
          <w:tcPr>
            <w:tcW w:w="1979" w:type="dxa"/>
            <w:gridSpan w:val="2"/>
            <w:shd w:val="clear" w:color="auto" w:fill="auto"/>
          </w:tcPr>
          <w:p w:rsidR="00610FC5" w:rsidRPr="00610FC5" w:rsidRDefault="00610FC5" w:rsidP="00610FC5">
            <w:pPr>
              <w:jc w:val="right"/>
              <w:rPr>
                <w:rFonts w:asciiTheme="minorHAnsi" w:hAnsiTheme="minorHAnsi"/>
                <w:b/>
                <w:color w:val="FF0000"/>
                <w:sz w:val="18"/>
                <w:szCs w:val="18"/>
              </w:rPr>
            </w:pPr>
            <w:r w:rsidRPr="00610FC5">
              <w:rPr>
                <w:rFonts w:asciiTheme="minorHAnsi" w:hAnsiTheme="minorHAnsi"/>
                <w:b/>
                <w:sz w:val="18"/>
                <w:szCs w:val="18"/>
              </w:rPr>
              <w:t>112 710</w:t>
            </w: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sz w:val="18"/>
                <w:szCs w:val="18"/>
              </w:rPr>
            </w:pPr>
          </w:p>
        </w:tc>
        <w:tc>
          <w:tcPr>
            <w:tcW w:w="1692" w:type="dxa"/>
            <w:shd w:val="clear" w:color="auto" w:fill="auto"/>
          </w:tcPr>
          <w:p w:rsidR="00610FC5" w:rsidRPr="00610FC5" w:rsidRDefault="00610FC5" w:rsidP="00610FC5">
            <w:pPr>
              <w:pStyle w:val="Brdtext"/>
              <w:jc w:val="right"/>
              <w:rPr>
                <w:rFonts w:asciiTheme="minorHAnsi" w:hAnsiTheme="minorHAnsi"/>
                <w:sz w:val="18"/>
                <w:szCs w:val="18"/>
              </w:rPr>
            </w:pPr>
          </w:p>
        </w:tc>
        <w:tc>
          <w:tcPr>
            <w:tcW w:w="1404" w:type="dxa"/>
            <w:shd w:val="clear" w:color="auto" w:fill="auto"/>
          </w:tcPr>
          <w:p w:rsidR="00610FC5" w:rsidRPr="00610FC5" w:rsidRDefault="00610FC5" w:rsidP="00610FC5">
            <w:pPr>
              <w:pStyle w:val="Brdtext"/>
              <w:jc w:val="right"/>
              <w:rPr>
                <w:rFonts w:asciiTheme="minorHAnsi" w:hAnsiTheme="minorHAnsi"/>
                <w:sz w:val="18"/>
                <w:szCs w:val="18"/>
              </w:rPr>
            </w:pPr>
          </w:p>
        </w:tc>
        <w:tc>
          <w:tcPr>
            <w:tcW w:w="1979" w:type="dxa"/>
            <w:gridSpan w:val="2"/>
            <w:shd w:val="clear" w:color="auto" w:fill="auto"/>
          </w:tcPr>
          <w:p w:rsidR="00610FC5" w:rsidRPr="00610FC5" w:rsidRDefault="00610FC5" w:rsidP="00610FC5">
            <w:pPr>
              <w:pStyle w:val="Brdtext"/>
              <w:jc w:val="right"/>
              <w:rPr>
                <w:rFonts w:asciiTheme="minorHAnsi" w:hAnsiTheme="minorHAnsi"/>
                <w:color w:val="FF0000"/>
                <w:sz w:val="18"/>
                <w:szCs w:val="18"/>
              </w:rPr>
            </w:pP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cs="Calibri"/>
                <w:b/>
                <w:sz w:val="18"/>
                <w:szCs w:val="18"/>
              </w:rPr>
            </w:pPr>
            <w:r w:rsidRPr="00610FC5">
              <w:rPr>
                <w:rFonts w:asciiTheme="minorHAnsi" w:hAnsiTheme="minorHAnsi" w:cs="Calibri"/>
                <w:b/>
                <w:sz w:val="18"/>
                <w:szCs w:val="18"/>
              </w:rPr>
              <w:t>KOSTNADER</w:t>
            </w:r>
          </w:p>
        </w:tc>
        <w:tc>
          <w:tcPr>
            <w:tcW w:w="1692" w:type="dxa"/>
            <w:shd w:val="clear" w:color="auto" w:fill="auto"/>
          </w:tcPr>
          <w:p w:rsidR="00610FC5" w:rsidRPr="00610FC5" w:rsidRDefault="00610FC5" w:rsidP="00610FC5">
            <w:pPr>
              <w:pStyle w:val="Brdtext"/>
              <w:jc w:val="right"/>
              <w:rPr>
                <w:rFonts w:asciiTheme="minorHAnsi" w:hAnsiTheme="minorHAnsi" w:cs="Calibri"/>
                <w:sz w:val="18"/>
                <w:szCs w:val="18"/>
              </w:rPr>
            </w:pPr>
          </w:p>
        </w:tc>
        <w:tc>
          <w:tcPr>
            <w:tcW w:w="1404" w:type="dxa"/>
            <w:shd w:val="clear" w:color="auto" w:fill="auto"/>
          </w:tcPr>
          <w:p w:rsidR="00610FC5" w:rsidRPr="00610FC5" w:rsidRDefault="00610FC5" w:rsidP="00610FC5">
            <w:pPr>
              <w:pStyle w:val="Brdtext"/>
              <w:jc w:val="right"/>
              <w:rPr>
                <w:rFonts w:asciiTheme="minorHAnsi" w:hAnsiTheme="minorHAnsi" w:cs="Calibri"/>
                <w:sz w:val="18"/>
                <w:szCs w:val="18"/>
              </w:rPr>
            </w:pPr>
          </w:p>
        </w:tc>
        <w:tc>
          <w:tcPr>
            <w:tcW w:w="1979" w:type="dxa"/>
            <w:gridSpan w:val="2"/>
            <w:shd w:val="clear" w:color="auto" w:fill="auto"/>
          </w:tcPr>
          <w:p w:rsidR="00610FC5" w:rsidRPr="00610FC5" w:rsidRDefault="00610FC5" w:rsidP="00610FC5">
            <w:pPr>
              <w:pStyle w:val="Brdtext"/>
              <w:jc w:val="right"/>
              <w:rPr>
                <w:rFonts w:asciiTheme="minorHAnsi" w:hAnsiTheme="minorHAnsi" w:cs="Calibri"/>
                <w:color w:val="FF0000"/>
                <w:sz w:val="18"/>
                <w:szCs w:val="18"/>
              </w:rPr>
            </w:pPr>
          </w:p>
        </w:tc>
      </w:tr>
      <w:tr w:rsidR="00610FC5" w:rsidRPr="009D488B" w:rsidTr="00610FC5">
        <w:trPr>
          <w:trHeight w:hRule="exact" w:val="272"/>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Personalkostnader</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33 460</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38 020</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36 567</w:t>
            </w:r>
          </w:p>
        </w:tc>
      </w:tr>
      <w:tr w:rsidR="00610FC5" w:rsidRPr="009D488B" w:rsidTr="00610FC5">
        <w:trPr>
          <w:trHeight w:hRule="exact" w:val="272"/>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Tekniska hjälpmedel</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26 969</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28 471</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29 530</w:t>
            </w:r>
          </w:p>
        </w:tc>
      </w:tr>
      <w:tr w:rsidR="00610FC5" w:rsidRPr="009D488B" w:rsidTr="00610FC5">
        <w:trPr>
          <w:trHeight w:hRule="exact" w:val="272"/>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Övriga material, varor</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181</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185</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144</w:t>
            </w:r>
          </w:p>
        </w:tc>
      </w:tr>
      <w:tr w:rsidR="00610FC5" w:rsidRPr="009D488B" w:rsidTr="00610FC5">
        <w:trPr>
          <w:trHeight w:hRule="exact" w:val="272"/>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Lokaler</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5 994</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6 888</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5 997</w:t>
            </w:r>
          </w:p>
        </w:tc>
      </w:tr>
      <w:tr w:rsidR="00610FC5" w:rsidRPr="009D488B" w:rsidTr="00610FC5">
        <w:trPr>
          <w:trHeight w:hRule="exact" w:val="272"/>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Frakt och transport</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1 063</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978</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1 080</w:t>
            </w:r>
          </w:p>
        </w:tc>
      </w:tr>
      <w:tr w:rsidR="00610FC5" w:rsidRPr="009D488B" w:rsidTr="00610FC5">
        <w:trPr>
          <w:trHeight w:hRule="exact" w:val="272"/>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Avskrivningar hjälpmedel</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24 138</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25 031</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25 487</w:t>
            </w:r>
          </w:p>
        </w:tc>
      </w:tr>
      <w:tr w:rsidR="00610FC5" w:rsidRPr="009D488B" w:rsidTr="00610FC5">
        <w:trPr>
          <w:trHeight w:hRule="exact" w:val="272"/>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Avskrivningar övrigt</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795</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1 107</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736</w:t>
            </w:r>
          </w:p>
        </w:tc>
      </w:tr>
      <w:tr w:rsidR="00610FC5" w:rsidRPr="009D488B" w:rsidTr="00610FC5">
        <w:trPr>
          <w:trHeight w:hRule="exact" w:val="272"/>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IT-kostnader</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3 719</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3 920</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3 189</w:t>
            </w:r>
          </w:p>
        </w:tc>
      </w:tr>
      <w:tr w:rsidR="00610FC5" w:rsidRPr="009D488B" w:rsidTr="00610FC5">
        <w:trPr>
          <w:trHeight w:hRule="exact" w:val="272"/>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Övriga kostnader</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8 387</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10 054</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8 447</w:t>
            </w:r>
          </w:p>
        </w:tc>
      </w:tr>
      <w:tr w:rsidR="00610FC5" w:rsidRPr="009D488B" w:rsidTr="00610FC5">
        <w:trPr>
          <w:trHeight w:hRule="exact" w:val="272"/>
        </w:trPr>
        <w:tc>
          <w:tcPr>
            <w:tcW w:w="2863" w:type="dxa"/>
            <w:shd w:val="clear" w:color="auto" w:fill="auto"/>
          </w:tcPr>
          <w:p w:rsidR="00610FC5" w:rsidRPr="00610FC5" w:rsidRDefault="00610FC5" w:rsidP="00610FC5">
            <w:pPr>
              <w:pStyle w:val="Brdtext"/>
              <w:rPr>
                <w:rFonts w:asciiTheme="minorHAnsi" w:hAnsiTheme="minorHAnsi" w:cs="Calibri"/>
                <w:sz w:val="16"/>
                <w:szCs w:val="16"/>
              </w:rPr>
            </w:pPr>
            <w:r w:rsidRPr="00610FC5">
              <w:rPr>
                <w:rFonts w:asciiTheme="minorHAnsi" w:hAnsiTheme="minorHAnsi" w:cs="Calibri"/>
                <w:sz w:val="16"/>
                <w:szCs w:val="16"/>
              </w:rPr>
              <w:t>Finansiella kostnader</w:t>
            </w:r>
          </w:p>
        </w:tc>
        <w:tc>
          <w:tcPr>
            <w:tcW w:w="1692"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1 433</w:t>
            </w:r>
          </w:p>
        </w:tc>
        <w:tc>
          <w:tcPr>
            <w:tcW w:w="1404" w:type="dxa"/>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1 567</w:t>
            </w:r>
          </w:p>
        </w:tc>
        <w:tc>
          <w:tcPr>
            <w:tcW w:w="1979" w:type="dxa"/>
            <w:gridSpan w:val="2"/>
            <w:shd w:val="clear" w:color="auto" w:fill="auto"/>
          </w:tcPr>
          <w:p w:rsidR="00610FC5" w:rsidRPr="00610FC5" w:rsidRDefault="00610FC5" w:rsidP="00610FC5">
            <w:pPr>
              <w:jc w:val="right"/>
              <w:rPr>
                <w:rFonts w:asciiTheme="minorHAnsi" w:hAnsiTheme="minorHAnsi"/>
                <w:sz w:val="16"/>
                <w:szCs w:val="16"/>
              </w:rPr>
            </w:pPr>
            <w:r w:rsidRPr="00610FC5">
              <w:rPr>
                <w:rFonts w:asciiTheme="minorHAnsi" w:hAnsiTheme="minorHAnsi"/>
                <w:sz w:val="16"/>
                <w:szCs w:val="16"/>
              </w:rPr>
              <w:t>1 533</w:t>
            </w: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asciiTheme="minorHAnsi" w:hAnsiTheme="minorHAnsi" w:cs="Calibri"/>
                <w:b/>
                <w:sz w:val="18"/>
                <w:szCs w:val="18"/>
              </w:rPr>
            </w:pPr>
            <w:r w:rsidRPr="00610FC5">
              <w:rPr>
                <w:rFonts w:asciiTheme="minorHAnsi" w:hAnsiTheme="minorHAnsi" w:cs="Calibri"/>
                <w:b/>
                <w:sz w:val="18"/>
                <w:szCs w:val="18"/>
              </w:rPr>
              <w:t>SUMMA KOSTNADER</w:t>
            </w:r>
          </w:p>
        </w:tc>
        <w:tc>
          <w:tcPr>
            <w:tcW w:w="1692" w:type="dxa"/>
            <w:shd w:val="clear" w:color="auto" w:fill="auto"/>
          </w:tcPr>
          <w:p w:rsidR="00610FC5" w:rsidRPr="00610FC5" w:rsidRDefault="00610FC5" w:rsidP="00610FC5">
            <w:pPr>
              <w:jc w:val="right"/>
              <w:rPr>
                <w:rFonts w:asciiTheme="minorHAnsi" w:hAnsiTheme="minorHAnsi"/>
                <w:b/>
                <w:sz w:val="18"/>
                <w:szCs w:val="18"/>
              </w:rPr>
            </w:pPr>
            <w:r w:rsidRPr="00610FC5">
              <w:rPr>
                <w:rFonts w:asciiTheme="minorHAnsi" w:hAnsiTheme="minorHAnsi"/>
                <w:b/>
                <w:sz w:val="18"/>
                <w:szCs w:val="18"/>
              </w:rPr>
              <w:t>106 139</w:t>
            </w:r>
          </w:p>
        </w:tc>
        <w:tc>
          <w:tcPr>
            <w:tcW w:w="1404" w:type="dxa"/>
            <w:shd w:val="clear" w:color="auto" w:fill="auto"/>
          </w:tcPr>
          <w:p w:rsidR="00610FC5" w:rsidRPr="00610FC5" w:rsidRDefault="00610FC5" w:rsidP="00610FC5">
            <w:pPr>
              <w:jc w:val="right"/>
              <w:rPr>
                <w:rFonts w:asciiTheme="minorHAnsi" w:hAnsiTheme="minorHAnsi"/>
                <w:b/>
                <w:sz w:val="18"/>
                <w:szCs w:val="18"/>
              </w:rPr>
            </w:pPr>
            <w:r w:rsidRPr="00610FC5">
              <w:rPr>
                <w:rFonts w:asciiTheme="minorHAnsi" w:hAnsiTheme="minorHAnsi"/>
                <w:b/>
                <w:sz w:val="18"/>
                <w:szCs w:val="18"/>
              </w:rPr>
              <w:t>116 221</w:t>
            </w:r>
          </w:p>
        </w:tc>
        <w:tc>
          <w:tcPr>
            <w:tcW w:w="1979" w:type="dxa"/>
            <w:gridSpan w:val="2"/>
            <w:shd w:val="clear" w:color="auto" w:fill="auto"/>
          </w:tcPr>
          <w:p w:rsidR="00610FC5" w:rsidRPr="00610FC5" w:rsidRDefault="00610FC5" w:rsidP="00610FC5">
            <w:pPr>
              <w:jc w:val="right"/>
              <w:rPr>
                <w:rFonts w:asciiTheme="minorHAnsi" w:hAnsiTheme="minorHAnsi"/>
                <w:b/>
                <w:color w:val="FF0000"/>
                <w:sz w:val="18"/>
                <w:szCs w:val="18"/>
              </w:rPr>
            </w:pPr>
            <w:r w:rsidRPr="00610FC5">
              <w:rPr>
                <w:rFonts w:asciiTheme="minorHAnsi" w:hAnsiTheme="minorHAnsi"/>
                <w:b/>
                <w:sz w:val="18"/>
                <w:szCs w:val="18"/>
              </w:rPr>
              <w:t>112 710</w:t>
            </w:r>
          </w:p>
          <w:p w:rsidR="00610FC5" w:rsidRPr="00610FC5" w:rsidRDefault="00610FC5" w:rsidP="00610FC5">
            <w:pPr>
              <w:jc w:val="right"/>
              <w:rPr>
                <w:rFonts w:asciiTheme="minorHAnsi" w:hAnsiTheme="minorHAnsi"/>
                <w:b/>
                <w:sz w:val="18"/>
                <w:szCs w:val="18"/>
              </w:rPr>
            </w:pPr>
          </w:p>
        </w:tc>
      </w:tr>
      <w:tr w:rsidR="00610FC5" w:rsidRPr="009D488B" w:rsidTr="00610FC5">
        <w:trPr>
          <w:trHeight w:hRule="exact" w:val="297"/>
        </w:trPr>
        <w:tc>
          <w:tcPr>
            <w:tcW w:w="2863" w:type="dxa"/>
            <w:shd w:val="clear" w:color="auto" w:fill="auto"/>
          </w:tcPr>
          <w:p w:rsidR="00610FC5" w:rsidRPr="00610FC5" w:rsidRDefault="00610FC5" w:rsidP="00610FC5">
            <w:pPr>
              <w:pStyle w:val="Brdtext"/>
              <w:rPr>
                <w:rFonts w:cs="Calibri"/>
                <w:b/>
                <w:sz w:val="18"/>
                <w:szCs w:val="18"/>
              </w:rPr>
            </w:pPr>
            <w:r w:rsidRPr="00610FC5">
              <w:rPr>
                <w:rFonts w:cs="Calibri"/>
                <w:b/>
                <w:sz w:val="18"/>
                <w:szCs w:val="18"/>
              </w:rPr>
              <w:t>RESULTAT</w:t>
            </w:r>
          </w:p>
        </w:tc>
        <w:tc>
          <w:tcPr>
            <w:tcW w:w="1692" w:type="dxa"/>
            <w:shd w:val="clear" w:color="auto" w:fill="auto"/>
          </w:tcPr>
          <w:p w:rsidR="00610FC5" w:rsidRPr="00610FC5" w:rsidRDefault="00610FC5" w:rsidP="00610FC5">
            <w:pPr>
              <w:jc w:val="right"/>
              <w:rPr>
                <w:b/>
                <w:sz w:val="18"/>
                <w:szCs w:val="18"/>
              </w:rPr>
            </w:pPr>
            <w:r w:rsidRPr="00610FC5">
              <w:rPr>
                <w:b/>
                <w:sz w:val="18"/>
                <w:szCs w:val="18"/>
              </w:rPr>
              <w:t>1 295</w:t>
            </w:r>
          </w:p>
        </w:tc>
        <w:tc>
          <w:tcPr>
            <w:tcW w:w="1404" w:type="dxa"/>
            <w:shd w:val="clear" w:color="auto" w:fill="auto"/>
          </w:tcPr>
          <w:p w:rsidR="00610FC5" w:rsidRPr="00610FC5" w:rsidRDefault="00610FC5" w:rsidP="00610FC5">
            <w:pPr>
              <w:jc w:val="right"/>
              <w:rPr>
                <w:b/>
                <w:sz w:val="18"/>
                <w:szCs w:val="18"/>
              </w:rPr>
            </w:pPr>
            <w:r w:rsidRPr="00610FC5">
              <w:rPr>
                <w:b/>
                <w:sz w:val="18"/>
                <w:szCs w:val="18"/>
              </w:rPr>
              <w:t>0</w:t>
            </w:r>
          </w:p>
        </w:tc>
        <w:tc>
          <w:tcPr>
            <w:tcW w:w="1979" w:type="dxa"/>
            <w:gridSpan w:val="2"/>
            <w:shd w:val="clear" w:color="auto" w:fill="auto"/>
          </w:tcPr>
          <w:p w:rsidR="00610FC5" w:rsidRPr="00610FC5" w:rsidRDefault="00610FC5" w:rsidP="00610FC5">
            <w:pPr>
              <w:jc w:val="right"/>
              <w:rPr>
                <w:b/>
                <w:color w:val="FF0000"/>
                <w:sz w:val="18"/>
                <w:szCs w:val="18"/>
              </w:rPr>
            </w:pPr>
            <w:r w:rsidRPr="00610FC5">
              <w:rPr>
                <w:b/>
                <w:sz w:val="18"/>
                <w:szCs w:val="18"/>
              </w:rPr>
              <w:t>0</w:t>
            </w:r>
          </w:p>
        </w:tc>
      </w:tr>
    </w:tbl>
    <w:p w:rsidR="009B704D" w:rsidRDefault="009B704D" w:rsidP="0084023F">
      <w:pPr>
        <w:pStyle w:val="Rubrik2"/>
      </w:pPr>
      <w:r>
        <w:lastRenderedPageBreak/>
        <w:t>Analys av intäkts- och bruttokostnadsutveckling</w:t>
      </w:r>
    </w:p>
    <w:p w:rsidR="0084023F" w:rsidRPr="0084023F" w:rsidRDefault="0084023F" w:rsidP="0084023F">
      <w:pPr>
        <w:pStyle w:val="Tabelltext"/>
        <w:numPr>
          <w:ilvl w:val="0"/>
          <w:numId w:val="6"/>
        </w:numPr>
      </w:pPr>
      <w:r w:rsidRPr="0084023F">
        <w:t>Intäkter</w:t>
      </w:r>
    </w:p>
    <w:p w:rsidR="0084023F" w:rsidRPr="0084023F" w:rsidRDefault="0084023F" w:rsidP="0084023F">
      <w:pPr>
        <w:pStyle w:val="Tabelltext"/>
        <w:numPr>
          <w:ilvl w:val="1"/>
          <w:numId w:val="6"/>
        </w:numPr>
      </w:pPr>
      <w:r w:rsidRPr="0084023F">
        <w:t>Total intäktsförändring jämfört med 2016 är 5 276 tkr och 4,9 %.</w:t>
      </w:r>
    </w:p>
    <w:p w:rsidR="0084023F" w:rsidRPr="0084023F" w:rsidRDefault="0084023F" w:rsidP="0084023F">
      <w:pPr>
        <w:pStyle w:val="Tabelltext"/>
        <w:numPr>
          <w:ilvl w:val="2"/>
          <w:numId w:val="20"/>
        </w:numPr>
      </w:pPr>
      <w:r w:rsidRPr="0084023F">
        <w:t>Främsta orsaken är prisökning med 1,8 % samt att fler hjälpmedel är uthyrda samt ökad försäljning.</w:t>
      </w:r>
    </w:p>
    <w:p w:rsidR="0084023F" w:rsidRPr="0084023F" w:rsidRDefault="0084023F" w:rsidP="0084023F">
      <w:pPr>
        <w:pStyle w:val="Tabelltext"/>
      </w:pPr>
    </w:p>
    <w:p w:rsidR="0084023F" w:rsidRPr="0084023F" w:rsidRDefault="0084023F" w:rsidP="0084023F">
      <w:pPr>
        <w:pStyle w:val="Tabelltext"/>
        <w:numPr>
          <w:ilvl w:val="0"/>
          <w:numId w:val="6"/>
        </w:numPr>
      </w:pPr>
      <w:r w:rsidRPr="0084023F">
        <w:t>Kostnader</w:t>
      </w:r>
    </w:p>
    <w:p w:rsidR="0084023F" w:rsidRPr="0084023F" w:rsidRDefault="0084023F" w:rsidP="0084023F">
      <w:pPr>
        <w:pStyle w:val="Tabelltext"/>
        <w:numPr>
          <w:ilvl w:val="0"/>
          <w:numId w:val="19"/>
        </w:numPr>
      </w:pPr>
      <w:r w:rsidRPr="0084023F">
        <w:t>Total bruttokostnadsförändring jämfört med 2016 är 6 571 tkr och 6,2 % och beror främst på följande händelser:</w:t>
      </w:r>
    </w:p>
    <w:p w:rsidR="0084023F" w:rsidRPr="0084023F" w:rsidRDefault="0084023F" w:rsidP="0084023F">
      <w:pPr>
        <w:pStyle w:val="Tabelltext"/>
        <w:numPr>
          <w:ilvl w:val="2"/>
          <w:numId w:val="18"/>
        </w:numPr>
      </w:pPr>
      <w:r w:rsidRPr="0084023F">
        <w:t>Personalkostnadsförändringen beror på årlig löneöversyn, extra lönesatsning på hjälpmedelskonsulenter samt att bemanningen har förstärkts.</w:t>
      </w:r>
    </w:p>
    <w:p w:rsidR="0084023F" w:rsidRPr="0084023F" w:rsidRDefault="0084023F" w:rsidP="0084023F">
      <w:pPr>
        <w:pStyle w:val="Tabelltext"/>
        <w:numPr>
          <w:ilvl w:val="2"/>
          <w:numId w:val="18"/>
        </w:numPr>
      </w:pPr>
      <w:r w:rsidRPr="0084023F">
        <w:t>Ökade inköpskostnader för tekniska hjälpmedel beror på kassation av uttjänta tillbehör och mindre huvudhjälpmedel, inköp av tillbehör och reservdelar till rullstolar och antidecubitusmadrasser samt förberedande inköp av tillbehör till medicinska behandlingshjälpmedel i hemmet.</w:t>
      </w:r>
    </w:p>
    <w:p w:rsidR="0084023F" w:rsidRPr="0084023F" w:rsidRDefault="0084023F" w:rsidP="0084023F">
      <w:pPr>
        <w:pStyle w:val="Tabelltext"/>
        <w:numPr>
          <w:ilvl w:val="2"/>
          <w:numId w:val="18"/>
        </w:numPr>
      </w:pPr>
      <w:r w:rsidRPr="0084023F">
        <w:t>Avskrivningarna har ökat som en följd av ökad förskrivning av bl.a. rullstolar, tyngdhjälpmedel och ståstöd.</w:t>
      </w:r>
      <w:r w:rsidR="00775C37">
        <w:t xml:space="preserve"> </w:t>
      </w:r>
      <w:r w:rsidR="00A910A0">
        <w:t>Även</w:t>
      </w:r>
      <w:r w:rsidR="00775C37">
        <w:t xml:space="preserve"> </w:t>
      </w:r>
      <w:r w:rsidR="00A910A0">
        <w:t>beviljade hjälpmedel utanför ordinarie sortiment har ökat.</w:t>
      </w:r>
    </w:p>
    <w:p w:rsidR="0084023F" w:rsidRPr="0084023F" w:rsidRDefault="0084023F" w:rsidP="0084023F">
      <w:pPr>
        <w:pStyle w:val="Tabelltext"/>
        <w:numPr>
          <w:ilvl w:val="2"/>
          <w:numId w:val="18"/>
        </w:numPr>
      </w:pPr>
      <w:r w:rsidRPr="0084023F">
        <w:t>Minskade övriga kostnader beror på sänkt IT-avgift från Centrum för digitalisering.</w:t>
      </w:r>
    </w:p>
    <w:p w:rsidR="0084023F" w:rsidRPr="0084023F" w:rsidRDefault="0084023F" w:rsidP="0084023F">
      <w:pPr>
        <w:pStyle w:val="Tabelltext"/>
        <w:ind w:left="1080"/>
      </w:pPr>
    </w:p>
    <w:p w:rsidR="0084023F" w:rsidRPr="0084023F" w:rsidRDefault="0084023F" w:rsidP="0084023F">
      <w:pPr>
        <w:pStyle w:val="Tabelltext"/>
        <w:numPr>
          <w:ilvl w:val="0"/>
          <w:numId w:val="6"/>
        </w:numPr>
      </w:pPr>
      <w:r w:rsidRPr="0084023F">
        <w:t>Arbetad tid</w:t>
      </w:r>
    </w:p>
    <w:p w:rsidR="0084023F" w:rsidRPr="0084023F" w:rsidRDefault="0084023F" w:rsidP="0084023F">
      <w:pPr>
        <w:pStyle w:val="Tabelltext"/>
        <w:numPr>
          <w:ilvl w:val="0"/>
          <w:numId w:val="19"/>
        </w:numPr>
      </w:pPr>
      <w:r w:rsidRPr="0084023F">
        <w:t xml:space="preserve">Den arbetade tiden har ökat med 6,5 % vilket motsvarar 4,04 årsarbetare (från 64 till 68). </w:t>
      </w:r>
      <w:r w:rsidRPr="0084023F">
        <w:rPr>
          <w:rFonts w:eastAsia="Times New Roman" w:cs="Segoe UI"/>
          <w:lang w:eastAsia="sv-SE"/>
        </w:rPr>
        <w:t>Bemanningen har förstärkts med t</w:t>
      </w:r>
      <w:r w:rsidRPr="0084023F">
        <w:t>ekniker, hjälpmedelskonsulent, samt förrådspersonal inför införandet av medicinska behandlingshjälpmedel i hemmet samt utökning med en enhetschef.</w:t>
      </w:r>
    </w:p>
    <w:p w:rsidR="0084023F" w:rsidRPr="00D45B7F" w:rsidRDefault="0084023F" w:rsidP="0084023F">
      <w:pPr>
        <w:pStyle w:val="Tabelltext"/>
        <w:ind w:left="2160"/>
        <w:rPr>
          <w:color w:val="808080" w:themeColor="background1" w:themeShade="80"/>
        </w:rPr>
      </w:pPr>
    </w:p>
    <w:p w:rsidR="0084023F" w:rsidRPr="00BC44C4" w:rsidRDefault="0084023F" w:rsidP="0084023F">
      <w:pPr>
        <w:pStyle w:val="Brdtext"/>
        <w:rPr>
          <w:b/>
        </w:rPr>
      </w:pPr>
      <w:r w:rsidRPr="00BC44C4">
        <w:rPr>
          <w:b/>
        </w:rPr>
        <w:t xml:space="preserve">Analys av årets </w:t>
      </w:r>
      <w:r w:rsidR="00D41179">
        <w:rPr>
          <w:b/>
        </w:rPr>
        <w:t>resultat i relation till budget</w:t>
      </w:r>
      <w:r w:rsidRPr="00BC44C4">
        <w:rPr>
          <w:b/>
        </w:rPr>
        <w:t xml:space="preserve"> – händelseöversikt</w:t>
      </w:r>
    </w:p>
    <w:p w:rsidR="0084023F" w:rsidRPr="0084023F" w:rsidRDefault="0084023F" w:rsidP="0084023F">
      <w:pPr>
        <w:pStyle w:val="Brdtext"/>
      </w:pPr>
      <w:r w:rsidRPr="0084023F">
        <w:t>Resultatet beror framförallt på följande händelser:</w:t>
      </w:r>
    </w:p>
    <w:p w:rsidR="0084023F" w:rsidRPr="0084023F" w:rsidRDefault="0084023F" w:rsidP="0084023F">
      <w:pPr>
        <w:pStyle w:val="Brdtext"/>
        <w:numPr>
          <w:ilvl w:val="0"/>
          <w:numId w:val="7"/>
        </w:numPr>
      </w:pPr>
      <w:r w:rsidRPr="0084023F">
        <w:t>Volymökning av sålda och uthyrda hjälpmedel lägre än budgeterat.</w:t>
      </w:r>
    </w:p>
    <w:p w:rsidR="0084023F" w:rsidRPr="0084023F" w:rsidRDefault="0084023F" w:rsidP="0084023F">
      <w:pPr>
        <w:pStyle w:val="Brdtext"/>
        <w:numPr>
          <w:ilvl w:val="0"/>
          <w:numId w:val="7"/>
        </w:numPr>
      </w:pPr>
      <w:r w:rsidRPr="0084023F">
        <w:t>Ianspråktagande av tidigare års resultat för att delfinansiera projektledare för överföring av medicinska behandlingshjälpmedel i hemmet från Västmanlands sjukhus till Hjälpmedelscentrum enligt beslut i Hälso- och sjukvårdsgruppen 2016.</w:t>
      </w:r>
    </w:p>
    <w:p w:rsidR="0084023F" w:rsidRPr="0084023F" w:rsidRDefault="0084023F" w:rsidP="0084023F">
      <w:pPr>
        <w:pStyle w:val="Brdtext"/>
        <w:numPr>
          <w:ilvl w:val="0"/>
          <w:numId w:val="7"/>
        </w:numPr>
      </w:pPr>
      <w:r w:rsidRPr="0084023F">
        <w:t>Erhållna medel från Hälso- och sjukvårdsutveckling (Innovation) för delfinansiering av projektledare för överföring av medicinska behandlingshjälpmedel i hemmet från Västmanlands sjukhus till Hjälpmedelscentrum.</w:t>
      </w:r>
    </w:p>
    <w:p w:rsidR="0084023F" w:rsidRPr="0084023F" w:rsidRDefault="0084023F" w:rsidP="0084023F">
      <w:pPr>
        <w:pStyle w:val="Brdtext"/>
        <w:numPr>
          <w:ilvl w:val="0"/>
          <w:numId w:val="7"/>
        </w:numPr>
      </w:pPr>
      <w:r w:rsidRPr="0084023F">
        <w:t>Lägre efterfrågan på extra transporter och tekniska tjänster än budgeterat.</w:t>
      </w:r>
    </w:p>
    <w:p w:rsidR="0084023F" w:rsidRPr="0084023F" w:rsidRDefault="0084023F" w:rsidP="0084023F">
      <w:pPr>
        <w:pStyle w:val="Brdtext"/>
        <w:numPr>
          <w:ilvl w:val="0"/>
          <w:numId w:val="7"/>
        </w:numPr>
      </w:pPr>
      <w:r w:rsidRPr="0084023F">
        <w:t>Lägre personalkostnader p.g.a. vakanta tjänster del av året, sjukfrånvaro och föräldraledigheter.</w:t>
      </w:r>
    </w:p>
    <w:p w:rsidR="0084023F" w:rsidRPr="0084023F" w:rsidRDefault="0084023F" w:rsidP="0084023F">
      <w:pPr>
        <w:pStyle w:val="Brdtext"/>
        <w:numPr>
          <w:ilvl w:val="0"/>
          <w:numId w:val="7"/>
        </w:numPr>
      </w:pPr>
      <w:r w:rsidRPr="0084023F">
        <w:t xml:space="preserve">Ökade inköpskostnader för tekniska hjälpmedel beror på kassation av uttjänta tillbehör och mindre huvudhjälpmedel (t.ex. lyftselar), inköp av tillbehör och reservdelar till rullstolar och </w:t>
      </w:r>
      <w:r w:rsidRPr="0084023F">
        <w:lastRenderedPageBreak/>
        <w:t>antidecubitusmadrasser samt förberedande inköp av tillbehör till medicinska behandlingshjälpmedel i hemmet.</w:t>
      </w:r>
    </w:p>
    <w:p w:rsidR="0084023F" w:rsidRPr="0084023F" w:rsidRDefault="0084023F" w:rsidP="0084023F">
      <w:pPr>
        <w:pStyle w:val="Brdtext"/>
        <w:numPr>
          <w:ilvl w:val="0"/>
          <w:numId w:val="7"/>
        </w:numPr>
      </w:pPr>
      <w:r w:rsidRPr="0084023F">
        <w:t>Lägre behov av licenser i webSesam för att tillgodose behov hos sjuksköterskor som förskriver madrasser medför lägre licenskostnader.</w:t>
      </w:r>
    </w:p>
    <w:p w:rsidR="0084023F" w:rsidRPr="0084023F" w:rsidRDefault="0084023F" w:rsidP="0084023F">
      <w:pPr>
        <w:pStyle w:val="Brdtext"/>
        <w:numPr>
          <w:ilvl w:val="0"/>
          <w:numId w:val="7"/>
        </w:numPr>
      </w:pPr>
      <w:r w:rsidRPr="0084023F">
        <w:t>Anpassningar i Sesam har ej levererats p.g.a. fördröjning hos leverantören, en del utvecklingskostnader finansieras centralt inom Regionen vilket har medfört lägre kostnader för IT-konsulttjänster.</w:t>
      </w:r>
    </w:p>
    <w:p w:rsidR="009B704D" w:rsidRPr="0084023F" w:rsidRDefault="0084023F" w:rsidP="0084023F">
      <w:pPr>
        <w:pStyle w:val="Brdtext"/>
        <w:numPr>
          <w:ilvl w:val="0"/>
          <w:numId w:val="7"/>
        </w:numPr>
      </w:pPr>
      <w:r w:rsidRPr="0084023F">
        <w:t>Förändrad taxering av fastigheten medför lägre fastighetsskatt.</w:t>
      </w:r>
    </w:p>
    <w:p w:rsidR="00D45B7F" w:rsidRDefault="00D45B7F">
      <w:pPr>
        <w:spacing w:after="0" w:line="240" w:lineRule="auto"/>
        <w:rPr>
          <w:color w:val="808080" w:themeColor="background1" w:themeShade="80"/>
        </w:rPr>
      </w:pPr>
    </w:p>
    <w:p w:rsidR="0084023F" w:rsidRPr="0084023F" w:rsidRDefault="0084023F" w:rsidP="0084023F">
      <w:pPr>
        <w:pStyle w:val="Rubrik2"/>
      </w:pPr>
      <w:bookmarkStart w:id="6" w:name="_Toc472420631"/>
      <w:r w:rsidRPr="0084023F">
        <w:t>Investeringsredovisning hjälpmedel</w:t>
      </w:r>
      <w:bookmarkEnd w:id="6"/>
    </w:p>
    <w:p w:rsidR="0084023F" w:rsidRPr="0084023F" w:rsidRDefault="0084023F" w:rsidP="00DF46DA">
      <w:pPr>
        <w:pStyle w:val="Brdtextutdragen"/>
        <w:spacing w:line="276" w:lineRule="auto"/>
        <w:ind w:left="0"/>
      </w:pPr>
      <w:r w:rsidRPr="0084023F">
        <w:t xml:space="preserve">Inköpskostnaderna har ökat, men hållits inom ram trots ökat antal beställningar och utbyte av rollatorer med fabrikationsfel. En följd av välplanerad rekonditionering och effektiva ersättningsgrupper för att i första hand förskriva från tillgängligt sortiment. Antalet returnerade hjälpmedel ligger kvar på förra årets höga nivå. Det visar på god hushållning och kostnadseffektivt tänkande i verksamheten. </w:t>
      </w:r>
    </w:p>
    <w:p w:rsidR="0084023F" w:rsidRDefault="0084023F" w:rsidP="00DF46DA">
      <w:pPr>
        <w:pStyle w:val="Brdtextutdragen"/>
        <w:spacing w:line="276" w:lineRule="auto"/>
        <w:ind w:left="0"/>
      </w:pPr>
      <w:r w:rsidRPr="0084023F">
        <w:t>En ISO-kodsförändring påverkar fördelningen mellan olika grupper</w:t>
      </w:r>
      <w:r w:rsidR="0023360E">
        <w:t xml:space="preserve"> av hjälpmedel</w:t>
      </w:r>
      <w:r w:rsidRPr="0084023F">
        <w:t>. Fler insulinpumpar har köpts in jämfört med 2016, men kostnaden är fortfarande under beviljad investeringsram.</w:t>
      </w:r>
      <w:r w:rsidRPr="0084023F">
        <w:rPr>
          <w:i/>
        </w:rPr>
        <w:t xml:space="preserve"> </w:t>
      </w:r>
      <w:r w:rsidRPr="0084023F">
        <w:t xml:space="preserve">Ökningen av behandlingshjälpmedel består främst av ståstöd, tyngdhjälpmedel </w:t>
      </w:r>
      <w:r w:rsidR="0023360E">
        <w:t>och kompressionshjälpmedel. Ökad</w:t>
      </w:r>
      <w:r w:rsidRPr="0084023F">
        <w:t xml:space="preserve"> förskrivning av rullstolar bidrar till en ökning av förlyttningshjälpmedel.</w:t>
      </w:r>
    </w:p>
    <w:p w:rsidR="00775C37" w:rsidRDefault="00775C37" w:rsidP="00DF46DA">
      <w:pPr>
        <w:pStyle w:val="Brdtextutdragen"/>
        <w:spacing w:line="276" w:lineRule="auto"/>
        <w:ind w:left="0"/>
      </w:pPr>
      <w:r w:rsidRPr="00775C37">
        <w:t xml:space="preserve">Förändrat regelverk och nya hjälpmedel har medfört att </w:t>
      </w:r>
      <w:r w:rsidR="0023360E">
        <w:t>inköp av</w:t>
      </w:r>
      <w:r w:rsidRPr="00775C37">
        <w:t xml:space="preserve"> hjälpmedel utanför ordinarie sortiment har ökat.</w:t>
      </w:r>
    </w:p>
    <w:p w:rsidR="00322E35" w:rsidRPr="00775C37" w:rsidRDefault="00322E35" w:rsidP="00DF46DA">
      <w:pPr>
        <w:pStyle w:val="Brdtextutdragen"/>
        <w:spacing w:line="276" w:lineRule="auto"/>
        <w:ind w:left="0"/>
      </w:pPr>
      <w:r>
        <w:t>Ett buffertlager till ett värde av 101 tkr infördes hos BUP i december 2017. Avsikten är snabbare leverans av de mest frekvent utskrivna hjälpmedlen.</w:t>
      </w:r>
    </w:p>
    <w:p w:rsidR="0084023F" w:rsidRPr="0084023F" w:rsidRDefault="0084023F" w:rsidP="00DF46DA">
      <w:pPr>
        <w:pStyle w:val="Brdtext"/>
        <w:spacing w:line="276" w:lineRule="auto"/>
      </w:pPr>
      <w:r w:rsidRPr="0084023F">
        <w:t>Förberedelser för att ta över medicinska behandlingshjälpmedel i hemmet har pågått under 2017. Investeringar i hjälpmedel, mätutrustning, lagerhyllor m.m. har gjorts under hösten. Utredningen om Hjälpmedelscentrum ska ta över hanteringen av elrullstolsgarage från Västerås stad är nu klar. Den resulterade i att Västerås stad behåller hanteringen av dessa.</w:t>
      </w:r>
    </w:p>
    <w:p w:rsidR="0084023F" w:rsidRPr="0084023F" w:rsidRDefault="0084023F" w:rsidP="00DF46DA">
      <w:pPr>
        <w:pStyle w:val="Brdtext"/>
        <w:spacing w:line="276" w:lineRule="auto"/>
      </w:pPr>
      <w:r w:rsidRPr="0084023F">
        <w:t>Analys av avskrivningstid för ett produktområde sker årligen då avskrivningstiden anpassas efter verklig teknisk livslängd. I år har antidecubitusmadrasser analyserats vilket visade att vi har korrekt avskrivningstid på dessa.</w:t>
      </w:r>
    </w:p>
    <w:p w:rsidR="0084023F" w:rsidRPr="0084023F" w:rsidRDefault="0084023F" w:rsidP="0084023F">
      <w:pPr>
        <w:pStyle w:val="Brdtext"/>
      </w:pPr>
    </w:p>
    <w:p w:rsidR="0084023F" w:rsidRDefault="0084023F">
      <w:pPr>
        <w:spacing w:after="0" w:line="240" w:lineRule="auto"/>
        <w:rPr>
          <w:b/>
        </w:rPr>
      </w:pPr>
      <w:r>
        <w:rPr>
          <w:b/>
        </w:rPr>
        <w:br w:type="page"/>
      </w:r>
    </w:p>
    <w:p w:rsidR="0084023F" w:rsidRPr="0084023F" w:rsidRDefault="0084023F" w:rsidP="004279FC">
      <w:pPr>
        <w:pStyle w:val="Rubrik3"/>
      </w:pPr>
      <w:r w:rsidRPr="0084023F">
        <w:lastRenderedPageBreak/>
        <w:t>Investeringar - bokslut 2017-01-01 – 2017-12-31, belopp i tkr</w:t>
      </w:r>
    </w:p>
    <w:p w:rsidR="00D45B7F" w:rsidRPr="00D45B7F" w:rsidRDefault="0084023F" w:rsidP="00D45B7F">
      <w:pPr>
        <w:pStyle w:val="Brdtextutdragen"/>
        <w:ind w:left="0"/>
        <w:rPr>
          <w:b/>
          <w:color w:val="FF0000"/>
        </w:rPr>
      </w:pPr>
      <w:r>
        <w:rPr>
          <w:noProof/>
          <w:lang w:eastAsia="sv-SE"/>
        </w:rPr>
        <w:drawing>
          <wp:inline distT="0" distB="0" distL="0" distR="0" wp14:anchorId="21800CA6" wp14:editId="4871F39A">
            <wp:extent cx="5818381" cy="4015154"/>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6496" cy="4020754"/>
                    </a:xfrm>
                    <a:prstGeom prst="rect">
                      <a:avLst/>
                    </a:prstGeom>
                  </pic:spPr>
                </pic:pic>
              </a:graphicData>
            </a:graphic>
          </wp:inline>
        </w:drawing>
      </w:r>
    </w:p>
    <w:p w:rsidR="00D45B7F" w:rsidRPr="00D45B7F" w:rsidRDefault="00D45B7F" w:rsidP="00D45B7F">
      <w:pPr>
        <w:pStyle w:val="Brdtextutdragen"/>
        <w:ind w:left="0"/>
        <w:rPr>
          <w:color w:val="FF0000"/>
        </w:rPr>
      </w:pPr>
    </w:p>
    <w:p w:rsidR="00AA76D5" w:rsidRPr="00D45B7F" w:rsidRDefault="00AA76D5" w:rsidP="00AA76D5">
      <w:pPr>
        <w:pStyle w:val="Rubrik2"/>
        <w:spacing w:after="240"/>
        <w:rPr>
          <w:b w:val="0"/>
          <w:color w:val="FF0000"/>
        </w:rPr>
      </w:pPr>
      <w:r w:rsidRPr="00C31669">
        <w:t>Redovisning av kostnader för inkontinenshjälpmedel för kund</w:t>
      </w:r>
      <w:r w:rsidRPr="00C31669">
        <w:rPr>
          <w:rStyle w:val="Fotnotsreferens"/>
          <w:rFonts w:cs="Calibri"/>
        </w:rPr>
        <w:footnoteReference w:id="8"/>
      </w:r>
      <w:r w:rsidR="00266BE0">
        <w:t xml:space="preserve"> </w:t>
      </w:r>
    </w:p>
    <w:tbl>
      <w:tblPr>
        <w:tblW w:w="0" w:type="auto"/>
        <w:tblInd w:w="108" w:type="dxa"/>
        <w:tblCellMar>
          <w:left w:w="0" w:type="dxa"/>
          <w:right w:w="0" w:type="dxa"/>
        </w:tblCellMar>
        <w:tblLook w:val="04A0" w:firstRow="1" w:lastRow="0" w:firstColumn="1" w:lastColumn="0" w:noHBand="0" w:noVBand="1"/>
      </w:tblPr>
      <w:tblGrid>
        <w:gridCol w:w="1941"/>
        <w:gridCol w:w="1386"/>
        <w:gridCol w:w="1526"/>
        <w:gridCol w:w="1527"/>
      </w:tblGrid>
      <w:tr w:rsidR="00AA76D5" w:rsidRPr="002E1494" w:rsidTr="000D23C2">
        <w:trPr>
          <w:trHeight w:val="314"/>
        </w:trPr>
        <w:tc>
          <w:tcPr>
            <w:tcW w:w="6380" w:type="dxa"/>
            <w:gridSpan w:val="4"/>
            <w:shd w:val="clear" w:color="auto" w:fill="BDD6EE" w:themeFill="accent1" w:themeFillTint="66"/>
            <w:tcMar>
              <w:top w:w="0" w:type="dxa"/>
              <w:left w:w="108" w:type="dxa"/>
              <w:bottom w:w="0" w:type="dxa"/>
              <w:right w:w="108" w:type="dxa"/>
            </w:tcMar>
            <w:hideMark/>
          </w:tcPr>
          <w:p w:rsidR="00AA76D5" w:rsidRPr="000D23C2" w:rsidRDefault="00AA76D5" w:rsidP="0009513C">
            <w:pPr>
              <w:spacing w:after="0" w:line="240" w:lineRule="auto"/>
              <w:ind w:left="-567" w:firstLine="601"/>
            </w:pPr>
            <w:r w:rsidRPr="000D23C2">
              <w:t>Kostnad för inkontinenshjälpmedel inkl. distribution och frakt, tkr</w:t>
            </w:r>
          </w:p>
        </w:tc>
      </w:tr>
      <w:tr w:rsidR="00AA76D5" w:rsidRPr="002E1494" w:rsidTr="000D23C2">
        <w:trPr>
          <w:trHeight w:hRule="exact" w:val="361"/>
        </w:trPr>
        <w:tc>
          <w:tcPr>
            <w:tcW w:w="1941" w:type="dxa"/>
            <w:tcBorders>
              <w:top w:val="nil"/>
              <w:left w:val="nil"/>
              <w:bottom w:val="nil"/>
              <w:right w:val="single" w:sz="8" w:space="0" w:color="auto"/>
            </w:tcBorders>
            <w:shd w:val="clear" w:color="auto" w:fill="FFFFFF"/>
            <w:tcMar>
              <w:top w:w="0" w:type="dxa"/>
              <w:left w:w="108" w:type="dxa"/>
              <w:bottom w:w="0" w:type="dxa"/>
              <w:right w:w="108" w:type="dxa"/>
            </w:tcMar>
            <w:hideMark/>
          </w:tcPr>
          <w:p w:rsidR="00AA76D5" w:rsidRPr="002E1494" w:rsidRDefault="00AA76D5" w:rsidP="0009513C">
            <w:pPr>
              <w:spacing w:line="240" w:lineRule="auto"/>
              <w:rPr>
                <w:sz w:val="20"/>
                <w:szCs w:val="20"/>
              </w:rPr>
            </w:pPr>
            <w:r w:rsidRPr="002E1494">
              <w:rPr>
                <w:sz w:val="20"/>
                <w:szCs w:val="20"/>
              </w:rPr>
              <w:t>År</w:t>
            </w:r>
          </w:p>
        </w:tc>
        <w:tc>
          <w:tcPr>
            <w:tcW w:w="1386" w:type="dxa"/>
            <w:tcBorders>
              <w:top w:val="nil"/>
              <w:left w:val="nil"/>
              <w:bottom w:val="nil"/>
              <w:right w:val="single" w:sz="8" w:space="0" w:color="auto"/>
            </w:tcBorders>
            <w:shd w:val="clear" w:color="auto" w:fill="FFFFFF"/>
            <w:tcMar>
              <w:top w:w="0" w:type="dxa"/>
              <w:left w:w="108" w:type="dxa"/>
              <w:bottom w:w="0" w:type="dxa"/>
              <w:right w:w="108" w:type="dxa"/>
            </w:tcMar>
            <w:hideMark/>
          </w:tcPr>
          <w:p w:rsidR="00AA76D5" w:rsidRPr="002E1494" w:rsidRDefault="00AA76D5" w:rsidP="0009513C">
            <w:pPr>
              <w:spacing w:line="240" w:lineRule="auto"/>
              <w:ind w:left="-41" w:firstLine="1"/>
              <w:rPr>
                <w:sz w:val="20"/>
                <w:szCs w:val="20"/>
              </w:rPr>
            </w:pPr>
            <w:r w:rsidRPr="002E1494">
              <w:rPr>
                <w:sz w:val="20"/>
                <w:szCs w:val="20"/>
              </w:rPr>
              <w:t>Kommun</w:t>
            </w:r>
          </w:p>
        </w:tc>
        <w:tc>
          <w:tcPr>
            <w:tcW w:w="1526" w:type="dxa"/>
            <w:tcBorders>
              <w:top w:val="nil"/>
              <w:left w:val="nil"/>
              <w:bottom w:val="nil"/>
              <w:right w:val="single" w:sz="8" w:space="0" w:color="auto"/>
            </w:tcBorders>
            <w:shd w:val="clear" w:color="auto" w:fill="FFFFFF"/>
            <w:tcMar>
              <w:top w:w="0" w:type="dxa"/>
              <w:left w:w="108" w:type="dxa"/>
              <w:bottom w:w="0" w:type="dxa"/>
              <w:right w:w="108" w:type="dxa"/>
            </w:tcMar>
            <w:hideMark/>
          </w:tcPr>
          <w:p w:rsidR="00AA76D5" w:rsidRPr="002E1494" w:rsidRDefault="00AA76D5" w:rsidP="0009513C">
            <w:pPr>
              <w:spacing w:line="240" w:lineRule="auto"/>
              <w:ind w:left="-83" w:firstLine="284"/>
              <w:rPr>
                <w:sz w:val="20"/>
                <w:szCs w:val="20"/>
              </w:rPr>
            </w:pPr>
            <w:r w:rsidRPr="002E1494">
              <w:rPr>
                <w:sz w:val="20"/>
                <w:szCs w:val="20"/>
              </w:rPr>
              <w:t>Landsting</w:t>
            </w:r>
          </w:p>
        </w:tc>
        <w:tc>
          <w:tcPr>
            <w:tcW w:w="1527" w:type="dxa"/>
            <w:shd w:val="clear" w:color="auto" w:fill="FFFFFF"/>
            <w:tcMar>
              <w:top w:w="0" w:type="dxa"/>
              <w:left w:w="108" w:type="dxa"/>
              <w:bottom w:w="0" w:type="dxa"/>
              <w:right w:w="108" w:type="dxa"/>
            </w:tcMar>
            <w:hideMark/>
          </w:tcPr>
          <w:p w:rsidR="00AA76D5" w:rsidRPr="002E1494" w:rsidRDefault="00AA76D5" w:rsidP="0009513C">
            <w:pPr>
              <w:spacing w:line="240" w:lineRule="auto"/>
              <w:jc w:val="center"/>
              <w:rPr>
                <w:sz w:val="20"/>
                <w:szCs w:val="20"/>
              </w:rPr>
            </w:pPr>
            <w:r w:rsidRPr="002E1494">
              <w:rPr>
                <w:noProof/>
                <w:lang w:eastAsia="sv-SE"/>
              </w:rPr>
              <mc:AlternateContent>
                <mc:Choice Requires="wps">
                  <w:drawing>
                    <wp:anchor distT="0" distB="0" distL="114300" distR="114300" simplePos="0" relativeHeight="251659264" behindDoc="0" locked="0" layoutInCell="1" allowOverlap="1" wp14:anchorId="29694BD4" wp14:editId="478ECC9F">
                      <wp:simplePos x="0" y="0"/>
                      <wp:positionH relativeFrom="column">
                        <wp:posOffset>872713</wp:posOffset>
                      </wp:positionH>
                      <wp:positionV relativeFrom="paragraph">
                        <wp:posOffset>64135</wp:posOffset>
                      </wp:positionV>
                      <wp:extent cx="2458085" cy="584835"/>
                      <wp:effectExtent l="0" t="0" r="28575" b="24765"/>
                      <wp:wrapNone/>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584835"/>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22E35" w:rsidRPr="00A0109B" w:rsidRDefault="00322E35" w:rsidP="00AA76D5">
                                  <w:pPr>
                                    <w:spacing w:after="0" w:line="240" w:lineRule="auto"/>
                                    <w:rPr>
                                      <w:b/>
                                      <w:bCs/>
                                    </w:rPr>
                                  </w:pPr>
                                  <w:r w:rsidRPr="00A0109B">
                                    <w:rPr>
                                      <w:b/>
                                      <w:bCs/>
                                    </w:rPr>
                                    <w:t>Produkt</w:t>
                                  </w:r>
                                  <w:r w:rsidRPr="00A0109B">
                                    <w:rPr>
                                      <w:b/>
                                      <w:bCs/>
                                    </w:rPr>
                                    <w:tab/>
                                    <w:t xml:space="preserve">          2016</w:t>
                                  </w:r>
                                  <w:r w:rsidRPr="00A0109B">
                                    <w:rPr>
                                      <w:b/>
                                      <w:bCs/>
                                    </w:rPr>
                                    <w:tab/>
                                    <w:t xml:space="preserve">  2017</w:t>
                                  </w:r>
                                </w:p>
                                <w:p w:rsidR="00322E35" w:rsidRPr="00A0109B" w:rsidRDefault="00322E35" w:rsidP="00AA76D5">
                                  <w:pPr>
                                    <w:spacing w:after="0" w:line="240" w:lineRule="auto"/>
                                    <w:rPr>
                                      <w:sz w:val="20"/>
                                      <w:szCs w:val="20"/>
                                    </w:rPr>
                                  </w:pPr>
                                  <w:r w:rsidRPr="00A0109B">
                                    <w:rPr>
                                      <w:sz w:val="20"/>
                                      <w:szCs w:val="20"/>
                                    </w:rPr>
                                    <w:t>Allt-i-ett</w:t>
                                  </w:r>
                                  <w:r w:rsidRPr="00A0109B">
                                    <w:rPr>
                                      <w:sz w:val="20"/>
                                      <w:szCs w:val="20"/>
                                    </w:rPr>
                                    <w:tab/>
                                    <w:t xml:space="preserve">          9 245 tkr</w:t>
                                  </w:r>
                                  <w:r w:rsidRPr="00A0109B">
                                    <w:rPr>
                                      <w:sz w:val="20"/>
                                      <w:szCs w:val="20"/>
                                    </w:rPr>
                                    <w:tab/>
                                    <w:t xml:space="preserve">  9 838 tkr</w:t>
                                  </w:r>
                                </w:p>
                                <w:p w:rsidR="00322E35" w:rsidRDefault="00322E35" w:rsidP="00AA76D5">
                                  <w:pPr>
                                    <w:spacing w:after="0" w:line="240" w:lineRule="auto"/>
                                  </w:pPr>
                                  <w:r w:rsidRPr="00A0109B">
                                    <w:rPr>
                                      <w:sz w:val="20"/>
                                      <w:szCs w:val="20"/>
                                    </w:rPr>
                                    <w:t>Tappningskatetrar      6 024 tkr</w:t>
                                  </w:r>
                                  <w:r w:rsidRPr="00A0109B">
                                    <w:rPr>
                                      <w:sz w:val="20"/>
                                      <w:szCs w:val="20"/>
                                    </w:rPr>
                                    <w:tab/>
                                    <w:t xml:space="preserve">  6 777 tkr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9694BD4" id="_x0000_t202" coordsize="21600,21600" o:spt="202" path="m,l,21600r21600,l21600,xe">
                      <v:stroke joinstyle="miter"/>
                      <v:path gradientshapeok="t" o:connecttype="rect"/>
                    </v:shapetype>
                    <v:shape id="Textruta 6" o:spid="_x0000_s1026" type="#_x0000_t202" style="position:absolute;left:0;text-align:left;margin-left:68.7pt;margin-top:5.05pt;width:193.55pt;height:46.0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" strokecolor="#4bacc6" strokeweight="1pt">
                      <v:stroke dashstyle="dash"/>
                      <v:shadow color="#868686"/>
                      <v:textbox style="mso-fit-shape-to-text:t">
                        <w:txbxContent>
                          <w:p w:rsidR="00322E35" w:rsidRPr="00A0109B" w:rsidRDefault="00322E35" w:rsidP="00AA76D5">
                            <w:pPr>
                              <w:spacing w:after="0" w:line="240" w:lineRule="auto"/>
                              <w:rPr>
                                <w:b/>
                                <w:bCs/>
                              </w:rPr>
                            </w:pPr>
                            <w:r w:rsidRPr="00A0109B">
                              <w:rPr>
                                <w:b/>
                                <w:bCs/>
                              </w:rPr>
                              <w:t>Produkt</w:t>
                            </w:r>
                            <w:r w:rsidRPr="00A0109B">
                              <w:rPr>
                                <w:b/>
                                <w:bCs/>
                              </w:rPr>
                              <w:tab/>
                              <w:t xml:space="preserve">          2016</w:t>
                            </w:r>
                            <w:r w:rsidRPr="00A0109B">
                              <w:rPr>
                                <w:b/>
                                <w:bCs/>
                              </w:rPr>
                              <w:tab/>
                              <w:t xml:space="preserve">  2017</w:t>
                            </w:r>
                          </w:p>
                          <w:p w:rsidR="00322E35" w:rsidRPr="00A0109B" w:rsidRDefault="00322E35" w:rsidP="00AA76D5">
                            <w:pPr>
                              <w:spacing w:after="0" w:line="240" w:lineRule="auto"/>
                              <w:rPr>
                                <w:sz w:val="20"/>
                                <w:szCs w:val="20"/>
                              </w:rPr>
                            </w:pPr>
                            <w:r w:rsidRPr="00A0109B">
                              <w:rPr>
                                <w:sz w:val="20"/>
                                <w:szCs w:val="20"/>
                              </w:rPr>
                              <w:t>Allt-i-ett</w:t>
                            </w:r>
                            <w:r w:rsidRPr="00A0109B">
                              <w:rPr>
                                <w:sz w:val="20"/>
                                <w:szCs w:val="20"/>
                              </w:rPr>
                              <w:tab/>
                              <w:t xml:space="preserve">          9 245 tkr</w:t>
                            </w:r>
                            <w:r w:rsidRPr="00A0109B">
                              <w:rPr>
                                <w:sz w:val="20"/>
                                <w:szCs w:val="20"/>
                              </w:rPr>
                              <w:tab/>
                              <w:t xml:space="preserve">  9 838 tkr</w:t>
                            </w:r>
                          </w:p>
                          <w:p w:rsidR="00322E35" w:rsidRDefault="00322E35" w:rsidP="00AA76D5">
                            <w:pPr>
                              <w:spacing w:after="0" w:line="240" w:lineRule="auto"/>
                            </w:pPr>
                            <w:r w:rsidRPr="00A0109B">
                              <w:rPr>
                                <w:sz w:val="20"/>
                                <w:szCs w:val="20"/>
                              </w:rPr>
                              <w:t>Tappningskatetrar      6 024 tkr</w:t>
                            </w:r>
                            <w:r w:rsidRPr="00A0109B">
                              <w:rPr>
                                <w:sz w:val="20"/>
                                <w:szCs w:val="20"/>
                              </w:rPr>
                              <w:tab/>
                              <w:t xml:space="preserve">  6 777 tkr</w:t>
                            </w:r>
                          </w:p>
                        </w:txbxContent>
                      </v:textbox>
                    </v:shape>
                  </w:pict>
                </mc:Fallback>
              </mc:AlternateContent>
            </w:r>
            <w:r w:rsidRPr="002E1494">
              <w:rPr>
                <w:sz w:val="20"/>
                <w:szCs w:val="20"/>
              </w:rPr>
              <w:t>Totalt</w:t>
            </w:r>
          </w:p>
        </w:tc>
      </w:tr>
      <w:tr w:rsidR="00AA76D5" w:rsidRPr="002E1494" w:rsidTr="000D23C2">
        <w:trPr>
          <w:trHeight w:hRule="exact" w:val="361"/>
        </w:trPr>
        <w:tc>
          <w:tcPr>
            <w:tcW w:w="1941" w:type="dxa"/>
            <w:tcBorders>
              <w:top w:val="nil"/>
              <w:left w:val="nil"/>
              <w:bottom w:val="nil"/>
              <w:right w:val="single" w:sz="8" w:space="0" w:color="auto"/>
            </w:tcBorders>
            <w:tcMar>
              <w:top w:w="0" w:type="dxa"/>
              <w:left w:w="108" w:type="dxa"/>
              <w:bottom w:w="0" w:type="dxa"/>
              <w:right w:w="108" w:type="dxa"/>
            </w:tcMar>
            <w:hideMark/>
          </w:tcPr>
          <w:p w:rsidR="00AA76D5" w:rsidRPr="002E1494" w:rsidRDefault="00AA76D5" w:rsidP="0009513C">
            <w:pPr>
              <w:spacing w:line="240" w:lineRule="auto"/>
              <w:rPr>
                <w:sz w:val="20"/>
                <w:szCs w:val="20"/>
              </w:rPr>
            </w:pPr>
            <w:r w:rsidRPr="002E1494">
              <w:rPr>
                <w:sz w:val="20"/>
                <w:szCs w:val="20"/>
              </w:rPr>
              <w:t>2016</w:t>
            </w:r>
          </w:p>
        </w:tc>
        <w:tc>
          <w:tcPr>
            <w:tcW w:w="1386" w:type="dxa"/>
            <w:tcBorders>
              <w:top w:val="nil"/>
              <w:left w:val="nil"/>
              <w:bottom w:val="nil"/>
              <w:right w:val="single" w:sz="8" w:space="0" w:color="auto"/>
            </w:tcBorders>
            <w:tcMar>
              <w:top w:w="0" w:type="dxa"/>
              <w:left w:w="108" w:type="dxa"/>
              <w:bottom w:w="0" w:type="dxa"/>
              <w:right w:w="108" w:type="dxa"/>
            </w:tcMar>
            <w:hideMark/>
          </w:tcPr>
          <w:p w:rsidR="00AA76D5" w:rsidRPr="002E1494" w:rsidRDefault="00AA76D5" w:rsidP="0009513C">
            <w:pPr>
              <w:spacing w:line="240" w:lineRule="auto"/>
              <w:ind w:left="-41" w:firstLine="1"/>
              <w:jc w:val="center"/>
              <w:rPr>
                <w:sz w:val="20"/>
                <w:szCs w:val="20"/>
              </w:rPr>
            </w:pPr>
            <w:r w:rsidRPr="002E1494">
              <w:rPr>
                <w:sz w:val="20"/>
                <w:szCs w:val="20"/>
              </w:rPr>
              <w:t>11 071</w:t>
            </w:r>
          </w:p>
        </w:tc>
        <w:tc>
          <w:tcPr>
            <w:tcW w:w="1526" w:type="dxa"/>
            <w:tcBorders>
              <w:top w:val="nil"/>
              <w:left w:val="nil"/>
              <w:bottom w:val="nil"/>
              <w:right w:val="single" w:sz="8" w:space="0" w:color="auto"/>
            </w:tcBorders>
            <w:tcMar>
              <w:top w:w="0" w:type="dxa"/>
              <w:left w:w="108" w:type="dxa"/>
              <w:bottom w:w="0" w:type="dxa"/>
              <w:right w:w="108" w:type="dxa"/>
            </w:tcMar>
            <w:hideMark/>
          </w:tcPr>
          <w:p w:rsidR="00AA76D5" w:rsidRPr="002E1494" w:rsidRDefault="00AA76D5" w:rsidP="0009513C">
            <w:pPr>
              <w:spacing w:line="240" w:lineRule="auto"/>
              <w:jc w:val="center"/>
              <w:rPr>
                <w:sz w:val="20"/>
                <w:szCs w:val="20"/>
              </w:rPr>
            </w:pPr>
            <w:r w:rsidRPr="002E1494">
              <w:rPr>
                <w:sz w:val="20"/>
                <w:szCs w:val="20"/>
              </w:rPr>
              <w:t>13 353</w:t>
            </w:r>
          </w:p>
        </w:tc>
        <w:tc>
          <w:tcPr>
            <w:tcW w:w="1527" w:type="dxa"/>
            <w:tcMar>
              <w:top w:w="0" w:type="dxa"/>
              <w:left w:w="108" w:type="dxa"/>
              <w:bottom w:w="0" w:type="dxa"/>
              <w:right w:w="108" w:type="dxa"/>
            </w:tcMar>
            <w:hideMark/>
          </w:tcPr>
          <w:p w:rsidR="00AA76D5" w:rsidRPr="002E1494" w:rsidRDefault="00AA76D5" w:rsidP="0009513C">
            <w:pPr>
              <w:spacing w:line="240" w:lineRule="auto"/>
              <w:jc w:val="center"/>
              <w:rPr>
                <w:sz w:val="20"/>
                <w:szCs w:val="20"/>
              </w:rPr>
            </w:pPr>
            <w:r w:rsidRPr="002E1494">
              <w:rPr>
                <w:sz w:val="20"/>
                <w:szCs w:val="20"/>
              </w:rPr>
              <w:t>24 424</w:t>
            </w:r>
          </w:p>
        </w:tc>
      </w:tr>
      <w:tr w:rsidR="00AA76D5" w:rsidRPr="002E1494" w:rsidTr="000D23C2">
        <w:trPr>
          <w:trHeight w:hRule="exact" w:val="361"/>
        </w:trPr>
        <w:tc>
          <w:tcPr>
            <w:tcW w:w="1941" w:type="dxa"/>
            <w:tcBorders>
              <w:top w:val="nil"/>
              <w:left w:val="nil"/>
              <w:bottom w:val="nil"/>
              <w:right w:val="single" w:sz="8" w:space="0" w:color="auto"/>
            </w:tcBorders>
            <w:tcMar>
              <w:top w:w="0" w:type="dxa"/>
              <w:left w:w="108" w:type="dxa"/>
              <w:bottom w:w="0" w:type="dxa"/>
              <w:right w:w="108" w:type="dxa"/>
            </w:tcMar>
            <w:hideMark/>
          </w:tcPr>
          <w:p w:rsidR="00AA76D5" w:rsidRPr="002E1494" w:rsidRDefault="00AA76D5" w:rsidP="0009513C">
            <w:pPr>
              <w:spacing w:line="240" w:lineRule="auto"/>
              <w:rPr>
                <w:sz w:val="20"/>
                <w:szCs w:val="20"/>
              </w:rPr>
            </w:pPr>
            <w:r w:rsidRPr="002E1494">
              <w:rPr>
                <w:sz w:val="20"/>
                <w:szCs w:val="20"/>
              </w:rPr>
              <w:t>2017</w:t>
            </w:r>
          </w:p>
        </w:tc>
        <w:tc>
          <w:tcPr>
            <w:tcW w:w="1386" w:type="dxa"/>
            <w:tcBorders>
              <w:top w:val="nil"/>
              <w:left w:val="nil"/>
              <w:bottom w:val="nil"/>
              <w:right w:val="single" w:sz="8" w:space="0" w:color="auto"/>
            </w:tcBorders>
            <w:tcMar>
              <w:top w:w="0" w:type="dxa"/>
              <w:left w:w="108" w:type="dxa"/>
              <w:bottom w:w="0" w:type="dxa"/>
              <w:right w:w="108" w:type="dxa"/>
            </w:tcMar>
            <w:hideMark/>
          </w:tcPr>
          <w:p w:rsidR="00AA76D5" w:rsidRPr="002E1494" w:rsidRDefault="00AA76D5" w:rsidP="0009513C">
            <w:pPr>
              <w:spacing w:line="240" w:lineRule="auto"/>
              <w:ind w:left="-41" w:firstLine="1"/>
              <w:jc w:val="center"/>
              <w:rPr>
                <w:sz w:val="20"/>
                <w:szCs w:val="20"/>
              </w:rPr>
            </w:pPr>
            <w:r w:rsidRPr="002E1494">
              <w:rPr>
                <w:sz w:val="20"/>
                <w:szCs w:val="20"/>
              </w:rPr>
              <w:t>11 527</w:t>
            </w:r>
          </w:p>
        </w:tc>
        <w:tc>
          <w:tcPr>
            <w:tcW w:w="1526" w:type="dxa"/>
            <w:tcBorders>
              <w:top w:val="nil"/>
              <w:left w:val="nil"/>
              <w:bottom w:val="nil"/>
              <w:right w:val="single" w:sz="8" w:space="0" w:color="auto"/>
            </w:tcBorders>
            <w:tcMar>
              <w:top w:w="0" w:type="dxa"/>
              <w:left w:w="108" w:type="dxa"/>
              <w:bottom w:w="0" w:type="dxa"/>
              <w:right w:w="108" w:type="dxa"/>
            </w:tcMar>
            <w:hideMark/>
          </w:tcPr>
          <w:p w:rsidR="00AA76D5" w:rsidRPr="002E1494" w:rsidRDefault="00AA76D5" w:rsidP="0009513C">
            <w:pPr>
              <w:spacing w:line="240" w:lineRule="auto"/>
              <w:jc w:val="center"/>
              <w:rPr>
                <w:sz w:val="20"/>
                <w:szCs w:val="20"/>
              </w:rPr>
            </w:pPr>
            <w:r w:rsidRPr="002E1494">
              <w:rPr>
                <w:sz w:val="20"/>
                <w:szCs w:val="20"/>
              </w:rPr>
              <w:t>14 544</w:t>
            </w:r>
          </w:p>
        </w:tc>
        <w:tc>
          <w:tcPr>
            <w:tcW w:w="1527" w:type="dxa"/>
            <w:tcMar>
              <w:top w:w="0" w:type="dxa"/>
              <w:left w:w="108" w:type="dxa"/>
              <w:bottom w:w="0" w:type="dxa"/>
              <w:right w:w="108" w:type="dxa"/>
            </w:tcMar>
            <w:hideMark/>
          </w:tcPr>
          <w:p w:rsidR="00AA76D5" w:rsidRPr="002E1494" w:rsidRDefault="00AA76D5" w:rsidP="0009513C">
            <w:pPr>
              <w:spacing w:line="240" w:lineRule="auto"/>
              <w:jc w:val="center"/>
              <w:rPr>
                <w:sz w:val="20"/>
                <w:szCs w:val="20"/>
              </w:rPr>
            </w:pPr>
            <w:r w:rsidRPr="002E1494">
              <w:rPr>
                <w:sz w:val="20"/>
                <w:szCs w:val="20"/>
              </w:rPr>
              <w:t>26 071</w:t>
            </w:r>
          </w:p>
          <w:p w:rsidR="00AA76D5" w:rsidRPr="002E1494" w:rsidRDefault="00AA76D5" w:rsidP="0009513C">
            <w:pPr>
              <w:spacing w:line="240" w:lineRule="auto"/>
              <w:jc w:val="center"/>
              <w:rPr>
                <w:sz w:val="20"/>
                <w:szCs w:val="20"/>
              </w:rPr>
            </w:pPr>
          </w:p>
          <w:p w:rsidR="00AA76D5" w:rsidRPr="002E1494" w:rsidRDefault="00AA76D5" w:rsidP="0009513C">
            <w:pPr>
              <w:spacing w:line="240" w:lineRule="auto"/>
              <w:jc w:val="center"/>
              <w:rPr>
                <w:sz w:val="20"/>
                <w:szCs w:val="20"/>
              </w:rPr>
            </w:pPr>
          </w:p>
        </w:tc>
      </w:tr>
      <w:tr w:rsidR="00AA76D5" w:rsidRPr="002E1494" w:rsidTr="000D23C2">
        <w:trPr>
          <w:trHeight w:hRule="exact" w:val="361"/>
        </w:trPr>
        <w:tc>
          <w:tcPr>
            <w:tcW w:w="1941" w:type="dxa"/>
            <w:tcBorders>
              <w:top w:val="nil"/>
              <w:left w:val="nil"/>
              <w:bottom w:val="nil"/>
              <w:right w:val="single" w:sz="8" w:space="0" w:color="auto"/>
            </w:tcBorders>
            <w:tcMar>
              <w:top w:w="0" w:type="dxa"/>
              <w:left w:w="108" w:type="dxa"/>
              <w:bottom w:w="0" w:type="dxa"/>
              <w:right w:w="108" w:type="dxa"/>
            </w:tcMar>
            <w:hideMark/>
          </w:tcPr>
          <w:p w:rsidR="00AA76D5" w:rsidRPr="002E1494" w:rsidRDefault="00AA76D5" w:rsidP="0009513C">
            <w:pPr>
              <w:spacing w:line="240" w:lineRule="auto"/>
              <w:rPr>
                <w:b/>
                <w:bCs/>
                <w:sz w:val="20"/>
                <w:szCs w:val="20"/>
              </w:rPr>
            </w:pPr>
            <w:r w:rsidRPr="002E1494">
              <w:rPr>
                <w:b/>
                <w:bCs/>
                <w:sz w:val="20"/>
                <w:szCs w:val="20"/>
              </w:rPr>
              <w:t>Förändring</w:t>
            </w:r>
          </w:p>
        </w:tc>
        <w:tc>
          <w:tcPr>
            <w:tcW w:w="1386" w:type="dxa"/>
            <w:tcBorders>
              <w:top w:val="nil"/>
              <w:left w:val="nil"/>
              <w:bottom w:val="nil"/>
              <w:right w:val="single" w:sz="8" w:space="0" w:color="auto"/>
            </w:tcBorders>
            <w:tcMar>
              <w:top w:w="0" w:type="dxa"/>
              <w:left w:w="108" w:type="dxa"/>
              <w:bottom w:w="0" w:type="dxa"/>
              <w:right w:w="108" w:type="dxa"/>
            </w:tcMar>
            <w:hideMark/>
          </w:tcPr>
          <w:p w:rsidR="00AA76D5" w:rsidRPr="002E1494" w:rsidRDefault="00AA76D5" w:rsidP="0009513C">
            <w:pPr>
              <w:spacing w:line="240" w:lineRule="auto"/>
              <w:ind w:left="-41" w:firstLine="1"/>
              <w:jc w:val="center"/>
              <w:rPr>
                <w:b/>
                <w:bCs/>
                <w:sz w:val="20"/>
                <w:szCs w:val="20"/>
              </w:rPr>
            </w:pPr>
            <w:r w:rsidRPr="002E1494">
              <w:rPr>
                <w:b/>
                <w:bCs/>
                <w:sz w:val="20"/>
                <w:szCs w:val="20"/>
              </w:rPr>
              <w:t xml:space="preserve">   + 456</w:t>
            </w:r>
          </w:p>
        </w:tc>
        <w:tc>
          <w:tcPr>
            <w:tcW w:w="1526" w:type="dxa"/>
            <w:tcBorders>
              <w:top w:val="nil"/>
              <w:left w:val="nil"/>
              <w:bottom w:val="nil"/>
              <w:right w:val="single" w:sz="8" w:space="0" w:color="auto"/>
            </w:tcBorders>
            <w:tcMar>
              <w:top w:w="0" w:type="dxa"/>
              <w:left w:w="108" w:type="dxa"/>
              <w:bottom w:w="0" w:type="dxa"/>
              <w:right w:w="108" w:type="dxa"/>
            </w:tcMar>
            <w:hideMark/>
          </w:tcPr>
          <w:p w:rsidR="00AA76D5" w:rsidRPr="002E1494" w:rsidRDefault="00AA76D5" w:rsidP="0009513C">
            <w:pPr>
              <w:spacing w:line="240" w:lineRule="auto"/>
              <w:jc w:val="center"/>
              <w:rPr>
                <w:b/>
                <w:bCs/>
                <w:sz w:val="20"/>
                <w:szCs w:val="20"/>
              </w:rPr>
            </w:pPr>
            <w:r w:rsidRPr="002E1494">
              <w:rPr>
                <w:b/>
                <w:bCs/>
                <w:sz w:val="20"/>
                <w:szCs w:val="20"/>
              </w:rPr>
              <w:t>+ 1 191</w:t>
            </w:r>
          </w:p>
        </w:tc>
        <w:tc>
          <w:tcPr>
            <w:tcW w:w="1527" w:type="dxa"/>
            <w:tcMar>
              <w:top w:w="0" w:type="dxa"/>
              <w:left w:w="108" w:type="dxa"/>
              <w:bottom w:w="0" w:type="dxa"/>
              <w:right w:w="108" w:type="dxa"/>
            </w:tcMar>
            <w:hideMark/>
          </w:tcPr>
          <w:p w:rsidR="00AA76D5" w:rsidRPr="002E1494" w:rsidRDefault="00AA76D5" w:rsidP="0009513C">
            <w:pPr>
              <w:spacing w:line="240" w:lineRule="auto"/>
              <w:jc w:val="center"/>
              <w:rPr>
                <w:b/>
                <w:bCs/>
                <w:sz w:val="20"/>
                <w:szCs w:val="20"/>
              </w:rPr>
            </w:pPr>
            <w:r w:rsidRPr="002E1494">
              <w:rPr>
                <w:b/>
                <w:bCs/>
                <w:sz w:val="20"/>
                <w:szCs w:val="20"/>
              </w:rPr>
              <w:t>+ 1 647</w:t>
            </w:r>
          </w:p>
        </w:tc>
      </w:tr>
    </w:tbl>
    <w:p w:rsidR="00D45B7F" w:rsidRDefault="00D45B7F" w:rsidP="009B704D">
      <w:pPr>
        <w:pStyle w:val="Brdtext"/>
        <w:rPr>
          <w:i/>
          <w:color w:val="808080"/>
          <w:sz w:val="20"/>
          <w:szCs w:val="20"/>
        </w:rPr>
      </w:pPr>
    </w:p>
    <w:p w:rsidR="002E1494" w:rsidRPr="00014AD1" w:rsidRDefault="002E1494" w:rsidP="009B704D">
      <w:pPr>
        <w:pStyle w:val="Brdtext"/>
        <w:rPr>
          <w:i/>
          <w:color w:val="808080"/>
          <w:sz w:val="20"/>
          <w:szCs w:val="20"/>
        </w:rPr>
      </w:pPr>
      <w:r w:rsidRPr="002E1494">
        <w:t>Kostnaden för inkontinenshjälpmedel har ökat med 6,7 %, särskilt noter</w:t>
      </w:r>
      <w:r w:rsidR="006E5A32">
        <w:t>as ökningen av allt-i-ett absorp</w:t>
      </w:r>
      <w:r w:rsidRPr="002E1494">
        <w:t>tions</w:t>
      </w:r>
      <w:r>
        <w:t xml:space="preserve">skydd </w:t>
      </w:r>
      <w:r w:rsidRPr="002E1494">
        <w:t>och engångsskydd</w:t>
      </w:r>
      <w:r>
        <w:rPr>
          <w:b/>
        </w:rPr>
        <w:t xml:space="preserve">. </w:t>
      </w:r>
    </w:p>
    <w:p w:rsidR="009B704D" w:rsidRDefault="009B704D" w:rsidP="004279FC">
      <w:pPr>
        <w:pStyle w:val="Rubrik2"/>
      </w:pPr>
      <w:r w:rsidRPr="00B917B7">
        <w:lastRenderedPageBreak/>
        <w:t>Resultat, analys</w:t>
      </w:r>
    </w:p>
    <w:p w:rsidR="00A352EA" w:rsidRPr="00A352EA" w:rsidRDefault="00A352EA" w:rsidP="00A352EA">
      <w:pPr>
        <w:pStyle w:val="Brdtext"/>
      </w:pPr>
      <w:r w:rsidRPr="00A352EA">
        <w:rPr>
          <w:rFonts w:cs="Calibri"/>
        </w:rPr>
        <w:t>Inför budgetarbetet efterfrågas varje år kundernas bedömning om hjälpmedelsbehovet två år framåt och svaren bildar underlag till budget. Volymerna fluktuerar över månader och år vilket medför att f</w:t>
      </w:r>
      <w:r w:rsidRPr="00A352EA">
        <w:t xml:space="preserve">örvaltningens kärnverksamhet är mycket svår att budgetera och prognosticera. </w:t>
      </w:r>
    </w:p>
    <w:p w:rsidR="00A352EA" w:rsidRPr="00A352EA" w:rsidRDefault="00A352EA" w:rsidP="00A352EA">
      <w:pPr>
        <w:pStyle w:val="Brdtext"/>
        <w:rPr>
          <w:b/>
          <w:i/>
        </w:rPr>
      </w:pPr>
      <w:r w:rsidRPr="00A352EA">
        <w:rPr>
          <w:rFonts w:cs="Calibri"/>
        </w:rPr>
        <w:t>Ett omfattande arbete med prispressande upphandlingar, effektiv rekonditionering som leder till hög återanvändningsgrad och ett bra förskrivningsstöd ger förutsättningar till att hålla så låg prisnivå som möjligt.</w:t>
      </w:r>
    </w:p>
    <w:p w:rsidR="00DF46DA" w:rsidRPr="00DF46DA" w:rsidRDefault="00DF46DA" w:rsidP="00DF46DA">
      <w:pPr>
        <w:pStyle w:val="Brdtext"/>
      </w:pPr>
    </w:p>
    <w:p w:rsidR="009B704D" w:rsidRDefault="009B704D" w:rsidP="009B704D">
      <w:pPr>
        <w:pStyle w:val="Rubrik1"/>
      </w:pPr>
      <w:r>
        <w:t>Intern referens</w:t>
      </w:r>
    </w:p>
    <w:p w:rsidR="009B704D" w:rsidRPr="00DF46DA" w:rsidRDefault="009B704D" w:rsidP="009B704D">
      <w:pPr>
        <w:pStyle w:val="Brdtext"/>
      </w:pPr>
      <w:r>
        <w:t xml:space="preserve">Denna rapport behandlas av Hjälpmedelsnämnden </w:t>
      </w:r>
      <w:r w:rsidR="00DF46DA" w:rsidRPr="00DF46DA">
        <w:rPr>
          <w:sz w:val="20"/>
          <w:szCs w:val="20"/>
        </w:rPr>
        <w:t>18-03-02</w:t>
      </w:r>
    </w:p>
    <w:p w:rsidR="009B704D" w:rsidRPr="00117D32" w:rsidRDefault="009B704D" w:rsidP="009B704D">
      <w:pPr>
        <w:pStyle w:val="Brdtext"/>
        <w:rPr>
          <w:i/>
          <w:color w:val="808080"/>
          <w:sz w:val="20"/>
          <w:szCs w:val="20"/>
        </w:rPr>
      </w:pPr>
      <w:r>
        <w:t>Diarienummer: RV</w:t>
      </w:r>
      <w:r w:rsidRPr="00117D32">
        <w:rPr>
          <w:i/>
          <w:color w:val="808080"/>
          <w:sz w:val="20"/>
          <w:szCs w:val="20"/>
        </w:rPr>
        <w:t>xxxx</w:t>
      </w:r>
    </w:p>
    <w:p w:rsidR="009B704D" w:rsidRPr="00B917B7" w:rsidRDefault="009B704D" w:rsidP="009B704D">
      <w:pPr>
        <w:pStyle w:val="Rubrik1"/>
      </w:pPr>
      <w:r w:rsidRPr="00B917B7">
        <w:t>Bilagor</w:t>
      </w:r>
    </w:p>
    <w:p w:rsidR="009B704D" w:rsidRPr="00B917B7" w:rsidRDefault="009B704D" w:rsidP="009B704D">
      <w:pPr>
        <w:pStyle w:val="Numreradlista"/>
        <w:numPr>
          <w:ilvl w:val="0"/>
          <w:numId w:val="8"/>
        </w:numPr>
      </w:pPr>
      <w:r>
        <w:t>Verksamhetsrapport</w:t>
      </w:r>
    </w:p>
    <w:p w:rsidR="009B704D" w:rsidRDefault="009B704D" w:rsidP="009B704D">
      <w:pPr>
        <w:pStyle w:val="Numreradlista"/>
        <w:numPr>
          <w:ilvl w:val="0"/>
          <w:numId w:val="8"/>
        </w:numPr>
      </w:pPr>
      <w:r w:rsidRPr="00B917B7">
        <w:t>DUVA-bilagor: Resultatrapport, Driftredovisning, Lönekostnader o</w:t>
      </w:r>
      <w:r>
        <w:t>ch kostnader, inhyrd personal</w:t>
      </w:r>
    </w:p>
    <w:p w:rsidR="009B704D" w:rsidRDefault="009B704D" w:rsidP="009B704D">
      <w:pPr>
        <w:pStyle w:val="Numreradlista"/>
        <w:numPr>
          <w:ilvl w:val="0"/>
          <w:numId w:val="8"/>
        </w:numPr>
      </w:pPr>
      <w:r w:rsidRPr="00065B92">
        <w:t>Investeringsbilaga</w:t>
      </w:r>
    </w:p>
    <w:p w:rsidR="009B704D" w:rsidRPr="003C527A" w:rsidRDefault="009B704D" w:rsidP="009B704D">
      <w:pPr>
        <w:pStyle w:val="Numreradlista"/>
        <w:numPr>
          <w:ilvl w:val="0"/>
          <w:numId w:val="8"/>
        </w:numPr>
      </w:pPr>
      <w:r>
        <w:t>Tabell för förvaltningsanpassad intäkts- och bruttokostnadsredovisning och avvikelse helårsbudget</w:t>
      </w:r>
    </w:p>
    <w:p w:rsidR="004931BF" w:rsidRPr="009B704D" w:rsidRDefault="004931BF" w:rsidP="009B704D"/>
    <w:sectPr w:rsidR="004931BF" w:rsidRPr="009B704D" w:rsidSect="00634514">
      <w:headerReference w:type="default" r:id="rId11"/>
      <w:footerReference w:type="default" r:id="rId12"/>
      <w:headerReference w:type="first" r:id="rId13"/>
      <w:footerReference w:type="first" r:id="rId14"/>
      <w:type w:val="oddPage"/>
      <w:pgSz w:w="11906" w:h="16838" w:code="9"/>
      <w:pgMar w:top="2835" w:right="1134" w:bottom="1985"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E35" w:rsidRDefault="00322E35" w:rsidP="00A561A0">
      <w:pPr>
        <w:spacing w:after="0" w:line="240" w:lineRule="auto"/>
      </w:pPr>
      <w:r>
        <w:separator/>
      </w:r>
    </w:p>
  </w:endnote>
  <w:endnote w:type="continuationSeparator" w:id="0">
    <w:p w:rsidR="00322E35" w:rsidRDefault="00322E35" w:rsidP="00A5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86"/>
      <w:gridCol w:w="3835"/>
      <w:gridCol w:w="4717"/>
    </w:tblGrid>
    <w:tr w:rsidR="00322E35" w:rsidRPr="0098671C" w:rsidTr="000C6D52">
      <w:tc>
        <w:tcPr>
          <w:tcW w:w="1100" w:type="dxa"/>
          <w:tcBorders>
            <w:top w:val="single" w:sz="4" w:space="0" w:color="auto"/>
          </w:tcBorders>
          <w:shd w:val="clear" w:color="auto" w:fill="auto"/>
          <w:vAlign w:val="bottom"/>
        </w:tcPr>
        <w:p w:rsidR="00322E35" w:rsidRPr="0098671C" w:rsidRDefault="00322E35" w:rsidP="000C6D52">
          <w:pPr>
            <w:pStyle w:val="Ledtext"/>
            <w:spacing w:before="160"/>
          </w:pPr>
          <w:r w:rsidRPr="0098671C">
            <w:t>Utfärdad av:</w:t>
          </w:r>
        </w:p>
      </w:tc>
      <w:tc>
        <w:tcPr>
          <w:tcW w:w="3933" w:type="dxa"/>
          <w:tcBorders>
            <w:top w:val="single" w:sz="4" w:space="0" w:color="auto"/>
          </w:tcBorders>
          <w:shd w:val="clear" w:color="auto" w:fill="auto"/>
          <w:vAlign w:val="bottom"/>
        </w:tcPr>
        <w:p w:rsidR="00322E35" w:rsidRPr="0098671C" w:rsidRDefault="00BE7B87" w:rsidP="000C6D52">
          <w:pPr>
            <w:pStyle w:val="Sidfot"/>
          </w:pPr>
          <w:fldSimple w:instr=" DOCPROPERTY  Owner  \* MERGEFORMAT ">
            <w:r w:rsidR="00322E35">
              <w:t>Joakim Axelsson</w:t>
            </w:r>
          </w:fldSimple>
        </w:p>
      </w:tc>
      <w:tc>
        <w:tcPr>
          <w:tcW w:w="4815" w:type="dxa"/>
          <w:vMerge w:val="restart"/>
          <w:tcBorders>
            <w:top w:val="single" w:sz="4" w:space="0" w:color="auto"/>
          </w:tcBorders>
          <w:shd w:val="clear" w:color="auto" w:fill="auto"/>
        </w:tcPr>
        <w:p w:rsidR="00322E35" w:rsidRPr="0098671C" w:rsidRDefault="00322E35" w:rsidP="000C6D52">
          <w:pPr>
            <w:pStyle w:val="Ledtext"/>
            <w:spacing w:before="160"/>
            <w:jc w:val="right"/>
          </w:pPr>
          <w:r w:rsidRPr="0098671C">
            <w:t>Kontrollera aktuell version mot original i dokumenthanteringssystemet</w:t>
          </w:r>
        </w:p>
      </w:tc>
    </w:tr>
    <w:tr w:rsidR="00322E35" w:rsidRPr="0098671C" w:rsidTr="000C6D52">
      <w:tc>
        <w:tcPr>
          <w:tcW w:w="1100" w:type="dxa"/>
          <w:shd w:val="clear" w:color="auto" w:fill="auto"/>
          <w:vAlign w:val="bottom"/>
        </w:tcPr>
        <w:p w:rsidR="00322E35" w:rsidRPr="0098671C" w:rsidRDefault="00322E35" w:rsidP="000C6D52">
          <w:pPr>
            <w:pStyle w:val="Ledtext"/>
          </w:pPr>
          <w:r w:rsidRPr="0098671C">
            <w:t>Godkänd av:</w:t>
          </w:r>
        </w:p>
      </w:tc>
      <w:tc>
        <w:tcPr>
          <w:tcW w:w="3933" w:type="dxa"/>
          <w:shd w:val="clear" w:color="auto" w:fill="auto"/>
          <w:vAlign w:val="bottom"/>
        </w:tcPr>
        <w:p w:rsidR="00322E35" w:rsidRPr="0098671C" w:rsidRDefault="00322E35" w:rsidP="000C6D52">
          <w:pPr>
            <w:pStyle w:val="Sidfot"/>
          </w:pPr>
          <w:r>
            <w:fldChar w:fldCharType="begin"/>
          </w:r>
          <w:r>
            <w:instrText xml:space="preserve"> DOCPROPERTY  ApprovedBy  \* MERGEFORMAT </w:instrText>
          </w:r>
          <w:r>
            <w:fldChar w:fldCharType="end"/>
          </w:r>
        </w:p>
      </w:tc>
      <w:tc>
        <w:tcPr>
          <w:tcW w:w="4815" w:type="dxa"/>
          <w:vMerge/>
          <w:shd w:val="clear" w:color="auto" w:fill="auto"/>
        </w:tcPr>
        <w:p w:rsidR="00322E35" w:rsidRPr="0098671C" w:rsidRDefault="00322E35" w:rsidP="000C6D52">
          <w:pPr>
            <w:pStyle w:val="Ledtext"/>
          </w:pPr>
        </w:p>
      </w:tc>
    </w:tr>
  </w:tbl>
  <w:p w:rsidR="00322E35" w:rsidRDefault="00322E35" w:rsidP="009B704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E35" w:rsidRDefault="00322E35" w:rsidP="00B6339A">
    <w:pPr>
      <w:pStyle w:val="Sidfotsid1"/>
    </w:pPr>
    <w:r>
      <w:t>Landstinget Västmanland 2012-02-20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E35" w:rsidRDefault="00322E35" w:rsidP="00A561A0">
      <w:pPr>
        <w:spacing w:after="0" w:line="240" w:lineRule="auto"/>
      </w:pPr>
      <w:r>
        <w:separator/>
      </w:r>
    </w:p>
  </w:footnote>
  <w:footnote w:type="continuationSeparator" w:id="0">
    <w:p w:rsidR="00322E35" w:rsidRDefault="00322E35" w:rsidP="00A561A0">
      <w:pPr>
        <w:spacing w:after="0" w:line="240" w:lineRule="auto"/>
      </w:pPr>
      <w:r>
        <w:continuationSeparator/>
      </w:r>
    </w:p>
  </w:footnote>
  <w:footnote w:id="1">
    <w:p w:rsidR="00322E35" w:rsidRDefault="00322E35" w:rsidP="000F5016">
      <w:pPr>
        <w:pStyle w:val="Fotnotstext"/>
      </w:pPr>
      <w:r>
        <w:rPr>
          <w:rStyle w:val="Fotnotsreferens"/>
        </w:rPr>
        <w:footnoteRef/>
      </w:r>
      <w:r>
        <w:t xml:space="preserve"> </w:t>
      </w:r>
      <w:r w:rsidRPr="00BE1D86">
        <w:rPr>
          <w:rFonts w:cs="Calibri"/>
          <w:sz w:val="16"/>
          <w:szCs w:val="16"/>
        </w:rPr>
        <w:t>2395 ärenden år 2016, 2907 ärenden år 2017</w:t>
      </w:r>
      <w:r>
        <w:rPr>
          <w:rFonts w:cs="Calibri"/>
          <w:sz w:val="16"/>
          <w:szCs w:val="16"/>
        </w:rPr>
        <w:t xml:space="preserve"> </w:t>
      </w:r>
    </w:p>
  </w:footnote>
  <w:footnote w:id="2">
    <w:p w:rsidR="00322E35" w:rsidRDefault="00322E35">
      <w:pPr>
        <w:pStyle w:val="Fotnotstext"/>
      </w:pPr>
      <w:r>
        <w:rPr>
          <w:rStyle w:val="Fotnotsreferens"/>
        </w:rPr>
        <w:footnoteRef/>
      </w:r>
      <w:r>
        <w:t xml:space="preserve"> </w:t>
      </w:r>
      <w:r w:rsidRPr="00525624">
        <w:rPr>
          <w:sz w:val="16"/>
          <w:szCs w:val="16"/>
        </w:rPr>
        <w:t>8961 personer år 2016</w:t>
      </w:r>
    </w:p>
  </w:footnote>
  <w:footnote w:id="3">
    <w:p w:rsidR="00322E35" w:rsidRDefault="00322E35">
      <w:pPr>
        <w:pStyle w:val="Fotnotstext"/>
      </w:pPr>
      <w:r>
        <w:rPr>
          <w:rStyle w:val="Fotnotsreferens"/>
        </w:rPr>
        <w:footnoteRef/>
      </w:r>
      <w:r>
        <w:t xml:space="preserve"> Som omfattas av utredning </w:t>
      </w:r>
      <w:r w:rsidRPr="007F027A">
        <w:rPr>
          <w:i/>
        </w:rPr>
        <w:t>Hantering av medicinska behandlingshjälpmedel i hemmet</w:t>
      </w:r>
    </w:p>
  </w:footnote>
  <w:footnote w:id="4">
    <w:p w:rsidR="00322E35" w:rsidRPr="00080B8A" w:rsidRDefault="00322E35" w:rsidP="00AA5943">
      <w:pPr>
        <w:pStyle w:val="Fotnotstext"/>
        <w:rPr>
          <w:rFonts w:cs="Calibri"/>
          <w:sz w:val="16"/>
          <w:szCs w:val="16"/>
        </w:rPr>
      </w:pPr>
      <w:r w:rsidRPr="00080B8A">
        <w:rPr>
          <w:rStyle w:val="Fotnotsreferens"/>
          <w:rFonts w:cs="Calibri"/>
        </w:rPr>
        <w:footnoteRef/>
      </w:r>
      <w:r w:rsidRPr="00080B8A">
        <w:rPr>
          <w:rFonts w:cs="Calibri"/>
        </w:rPr>
        <w:t xml:space="preserve"> </w:t>
      </w:r>
      <w:r w:rsidRPr="00080B8A">
        <w:rPr>
          <w:rFonts w:cs="Calibri"/>
          <w:sz w:val="16"/>
          <w:szCs w:val="16"/>
        </w:rPr>
        <w:t>Hjälpmedel med unik märkning för identifiering av hjälpmedelsprodukt/-artikel för spårbarhet</w:t>
      </w:r>
    </w:p>
  </w:footnote>
  <w:footnote w:id="5">
    <w:tbl>
      <w:tblPr>
        <w:tblW w:w="10393" w:type="dxa"/>
        <w:shd w:val="clear" w:color="auto" w:fill="FFFFFF"/>
        <w:tblLook w:val="04A0" w:firstRow="1" w:lastRow="0" w:firstColumn="1" w:lastColumn="0" w:noHBand="0" w:noVBand="1"/>
      </w:tblPr>
      <w:tblGrid>
        <w:gridCol w:w="2041"/>
        <w:gridCol w:w="8352"/>
      </w:tblGrid>
      <w:tr w:rsidR="00322E35" w:rsidRPr="0055350F" w:rsidTr="007A57F8">
        <w:trPr>
          <w:trHeight w:val="390"/>
        </w:trPr>
        <w:tc>
          <w:tcPr>
            <w:tcW w:w="2041" w:type="dxa"/>
            <w:shd w:val="clear" w:color="auto" w:fill="FFFFFF"/>
          </w:tcPr>
          <w:p w:rsidR="00322E35" w:rsidRPr="00E60EF9" w:rsidRDefault="00322E35" w:rsidP="000C6D52">
            <w:pPr>
              <w:pStyle w:val="Rubrik2"/>
              <w:tabs>
                <w:tab w:val="left" w:pos="1026"/>
              </w:tabs>
              <w:spacing w:before="0" w:line="240" w:lineRule="auto"/>
              <w:ind w:left="-108" w:right="284"/>
              <w:rPr>
                <w:rFonts w:cs="Calibri"/>
                <w:b w:val="0"/>
                <w:sz w:val="16"/>
                <w:szCs w:val="16"/>
              </w:rPr>
            </w:pPr>
            <w:r>
              <w:rPr>
                <w:rStyle w:val="Fotnotsreferens"/>
              </w:rPr>
              <w:footnoteRef/>
            </w:r>
            <w:r>
              <w:t xml:space="preserve"> </w:t>
            </w:r>
            <w:r>
              <w:rPr>
                <w:rFonts w:cs="Calibri"/>
                <w:b w:val="0"/>
                <w:sz w:val="16"/>
                <w:szCs w:val="16"/>
              </w:rPr>
              <w:t>Avvikelse/reklamation i webSesam</w:t>
            </w:r>
          </w:p>
        </w:tc>
        <w:tc>
          <w:tcPr>
            <w:tcW w:w="8352" w:type="dxa"/>
            <w:shd w:val="clear" w:color="auto" w:fill="FFFFFF"/>
          </w:tcPr>
          <w:p w:rsidR="00322E35" w:rsidRPr="00E60EF9" w:rsidRDefault="00322E35" w:rsidP="000C6D52">
            <w:pPr>
              <w:pStyle w:val="Rubrik2"/>
              <w:spacing w:before="0" w:after="120" w:line="240" w:lineRule="auto"/>
              <w:ind w:left="-108" w:right="284"/>
            </w:pPr>
            <w:r>
              <w:rPr>
                <w:rFonts w:cs="Calibri"/>
                <w:b w:val="0"/>
                <w:spacing w:val="-2"/>
                <w:sz w:val="16"/>
                <w:szCs w:val="16"/>
              </w:rPr>
              <w:t>Framförallt</w:t>
            </w:r>
            <w:r w:rsidRPr="00E60EF9">
              <w:rPr>
                <w:rFonts w:cs="Calibri"/>
                <w:b w:val="0"/>
                <w:spacing w:val="-2"/>
                <w:sz w:val="16"/>
                <w:szCs w:val="16"/>
              </w:rPr>
              <w:t xml:space="preserve"> </w:t>
            </w:r>
            <w:r>
              <w:rPr>
                <w:rFonts w:cs="Calibri"/>
                <w:b w:val="0"/>
                <w:spacing w:val="-2"/>
                <w:sz w:val="16"/>
                <w:szCs w:val="16"/>
              </w:rPr>
              <w:t>r</w:t>
            </w:r>
            <w:r w:rsidRPr="00E60EF9">
              <w:rPr>
                <w:rFonts w:cs="Calibri"/>
                <w:b w:val="0"/>
                <w:spacing w:val="-2"/>
                <w:sz w:val="16"/>
                <w:szCs w:val="16"/>
              </w:rPr>
              <w:t xml:space="preserve">eklamation rapporterad av förskrivare. Negativ händelse eller Tillbud </w:t>
            </w:r>
            <w:r>
              <w:rPr>
                <w:rFonts w:cs="Calibri"/>
                <w:b w:val="0"/>
                <w:spacing w:val="-2"/>
                <w:sz w:val="16"/>
                <w:szCs w:val="16"/>
              </w:rPr>
              <w:t xml:space="preserve">ska </w:t>
            </w:r>
            <w:r w:rsidRPr="00E60EF9">
              <w:rPr>
                <w:rFonts w:cs="Calibri"/>
                <w:b w:val="0"/>
                <w:spacing w:val="-2"/>
                <w:sz w:val="16"/>
                <w:szCs w:val="16"/>
              </w:rPr>
              <w:t>införas i Synergi</w:t>
            </w:r>
            <w:r w:rsidRPr="00E60EF9">
              <w:rPr>
                <w:rFonts w:cs="Calibri"/>
                <w:spacing w:val="-2"/>
                <w:sz w:val="16"/>
                <w:szCs w:val="16"/>
              </w:rPr>
              <w:t xml:space="preserve"> </w:t>
            </w:r>
            <w:r w:rsidRPr="00E60EF9">
              <w:rPr>
                <w:rFonts w:cs="Calibri"/>
                <w:b w:val="0"/>
                <w:spacing w:val="-2"/>
                <w:sz w:val="16"/>
                <w:szCs w:val="16"/>
              </w:rPr>
              <w:t>av förskrivare direkt eller via kopia från annat avvikelsesystem av HMC:s avvikelsesamordnare.</w:t>
            </w:r>
            <w:r>
              <w:rPr>
                <w:rFonts w:cs="Calibri"/>
                <w:b w:val="0"/>
                <w:spacing w:val="-2"/>
                <w:sz w:val="16"/>
                <w:szCs w:val="16"/>
              </w:rPr>
              <w:t xml:space="preserve"> Rapport av avvikelser till förskrivare</w:t>
            </w:r>
          </w:p>
        </w:tc>
      </w:tr>
      <w:tr w:rsidR="00322E35" w:rsidRPr="0055350F" w:rsidTr="007A57F8">
        <w:trPr>
          <w:trHeight w:val="438"/>
        </w:trPr>
        <w:tc>
          <w:tcPr>
            <w:tcW w:w="2041" w:type="dxa"/>
            <w:shd w:val="clear" w:color="auto" w:fill="FFFFFF"/>
          </w:tcPr>
          <w:p w:rsidR="00322E35" w:rsidRPr="00E60EF9" w:rsidRDefault="00322E35" w:rsidP="000C6D52">
            <w:pPr>
              <w:pStyle w:val="Rubrik2"/>
              <w:spacing w:before="0" w:line="240" w:lineRule="auto"/>
              <w:ind w:left="-108" w:right="284"/>
              <w:rPr>
                <w:rFonts w:cs="Calibri"/>
                <w:b w:val="0"/>
                <w:sz w:val="16"/>
                <w:szCs w:val="16"/>
              </w:rPr>
            </w:pPr>
            <w:r w:rsidRPr="00E60EF9">
              <w:rPr>
                <w:rFonts w:cs="Calibri"/>
                <w:b w:val="0"/>
                <w:sz w:val="16"/>
                <w:szCs w:val="16"/>
              </w:rPr>
              <w:t xml:space="preserve">Synergi </w:t>
            </w:r>
          </w:p>
        </w:tc>
        <w:tc>
          <w:tcPr>
            <w:tcW w:w="8352" w:type="dxa"/>
            <w:shd w:val="clear" w:color="auto" w:fill="FFFFFF"/>
          </w:tcPr>
          <w:p w:rsidR="00322E35" w:rsidRPr="00E60EF9" w:rsidRDefault="00322E35" w:rsidP="00C4256C">
            <w:pPr>
              <w:pStyle w:val="Rubrik2"/>
              <w:spacing w:before="0" w:line="240" w:lineRule="auto"/>
              <w:ind w:left="-108" w:right="284"/>
              <w:rPr>
                <w:sz w:val="16"/>
                <w:szCs w:val="16"/>
              </w:rPr>
            </w:pPr>
            <w:r w:rsidRPr="00E60EF9">
              <w:rPr>
                <w:rFonts w:cs="Calibri"/>
                <w:b w:val="0"/>
                <w:sz w:val="16"/>
                <w:szCs w:val="16"/>
              </w:rPr>
              <w:t xml:space="preserve">Negativa händelser, </w:t>
            </w:r>
            <w:r>
              <w:rPr>
                <w:rFonts w:cs="Calibri"/>
                <w:b w:val="0"/>
                <w:sz w:val="16"/>
                <w:szCs w:val="16"/>
              </w:rPr>
              <w:t>t</w:t>
            </w:r>
            <w:r w:rsidRPr="00E60EF9">
              <w:rPr>
                <w:rFonts w:cs="Calibri"/>
                <w:b w:val="0"/>
                <w:sz w:val="16"/>
                <w:szCs w:val="16"/>
              </w:rPr>
              <w:t xml:space="preserve">illbud och förbättringsförslag </w:t>
            </w:r>
            <w:r>
              <w:rPr>
                <w:rFonts w:cs="Calibri"/>
                <w:b w:val="0"/>
                <w:sz w:val="16"/>
                <w:szCs w:val="16"/>
              </w:rPr>
              <w:t xml:space="preserve">gällande </w:t>
            </w:r>
            <w:r w:rsidRPr="00E60EF9">
              <w:rPr>
                <w:rFonts w:cs="Calibri"/>
                <w:b w:val="0"/>
                <w:sz w:val="16"/>
                <w:szCs w:val="16"/>
              </w:rPr>
              <w:t>arbetsmiljö</w:t>
            </w:r>
            <w:r>
              <w:rPr>
                <w:rFonts w:cs="Calibri"/>
                <w:b w:val="0"/>
                <w:sz w:val="16"/>
                <w:szCs w:val="16"/>
              </w:rPr>
              <w:t xml:space="preserve">, </w:t>
            </w:r>
            <w:r w:rsidRPr="00B30F8A">
              <w:rPr>
                <w:b w:val="0"/>
                <w:sz w:val="16"/>
                <w:szCs w:val="16"/>
              </w:rPr>
              <w:t>patient</w:t>
            </w:r>
            <w:r>
              <w:rPr>
                <w:b w:val="0"/>
                <w:sz w:val="16"/>
                <w:szCs w:val="16"/>
              </w:rPr>
              <w:t>-</w:t>
            </w:r>
            <w:r w:rsidRPr="00B30F8A">
              <w:rPr>
                <w:b w:val="0"/>
                <w:sz w:val="16"/>
                <w:szCs w:val="16"/>
              </w:rPr>
              <w:t xml:space="preserve"> eller driftrelaterade</w:t>
            </w:r>
            <w:r>
              <w:rPr>
                <w:sz w:val="16"/>
                <w:szCs w:val="16"/>
              </w:rPr>
              <w:t xml:space="preserve">. </w:t>
            </w:r>
          </w:p>
        </w:tc>
      </w:tr>
      <w:tr w:rsidR="00322E35" w:rsidRPr="0055350F" w:rsidTr="00C4256C">
        <w:trPr>
          <w:trHeight w:val="745"/>
        </w:trPr>
        <w:tc>
          <w:tcPr>
            <w:tcW w:w="2041" w:type="dxa"/>
            <w:shd w:val="clear" w:color="auto" w:fill="FFFFFF"/>
          </w:tcPr>
          <w:p w:rsidR="00322E35" w:rsidRPr="00E60EF9" w:rsidRDefault="00322E35" w:rsidP="000C6D52">
            <w:pPr>
              <w:pStyle w:val="Rubrik2"/>
              <w:spacing w:before="0" w:line="240" w:lineRule="auto"/>
              <w:ind w:left="-108" w:right="284"/>
              <w:rPr>
                <w:rFonts w:cs="Calibri"/>
                <w:b w:val="0"/>
                <w:sz w:val="16"/>
                <w:szCs w:val="16"/>
              </w:rPr>
            </w:pPr>
            <w:r w:rsidRPr="00E60EF9">
              <w:rPr>
                <w:rFonts w:cs="Calibri"/>
                <w:b w:val="0"/>
                <w:sz w:val="16"/>
                <w:szCs w:val="16"/>
              </w:rPr>
              <w:t>Medicintekniska</w:t>
            </w:r>
            <w:r w:rsidRPr="00E60EF9">
              <w:rPr>
                <w:rFonts w:cs="Calibri"/>
                <w:b w:val="0"/>
                <w:sz w:val="16"/>
                <w:szCs w:val="16"/>
              </w:rPr>
              <w:br/>
              <w:t>avvikelser till Läkemedelsverket</w:t>
            </w:r>
          </w:p>
        </w:tc>
        <w:tc>
          <w:tcPr>
            <w:tcW w:w="8352" w:type="dxa"/>
            <w:shd w:val="clear" w:color="auto" w:fill="FFFFFF"/>
          </w:tcPr>
          <w:p w:rsidR="00322E35" w:rsidRPr="0068781B" w:rsidRDefault="00322E35" w:rsidP="00C4256C">
            <w:pPr>
              <w:spacing w:before="100" w:beforeAutospacing="1" w:after="0" w:line="240" w:lineRule="auto"/>
              <w:ind w:left="-108" w:right="284"/>
              <w:rPr>
                <w:sz w:val="16"/>
                <w:szCs w:val="16"/>
              </w:rPr>
            </w:pPr>
            <w:r>
              <w:rPr>
                <w:rFonts w:eastAsia="Times New Roman"/>
                <w:sz w:val="16"/>
                <w:szCs w:val="16"/>
                <w:lang w:eastAsia="sv-SE"/>
              </w:rPr>
              <w:t>Skador eller tillbud</w:t>
            </w:r>
            <w:r w:rsidRPr="00E60EF9">
              <w:rPr>
                <w:rFonts w:eastAsia="Times New Roman"/>
                <w:sz w:val="16"/>
                <w:szCs w:val="16"/>
                <w:lang w:eastAsia="sv-SE"/>
              </w:rPr>
              <w:t xml:space="preserve"> som orsakat patient, användare eller annans död </w:t>
            </w:r>
            <w:r>
              <w:rPr>
                <w:rFonts w:eastAsia="Times New Roman"/>
                <w:sz w:val="16"/>
                <w:szCs w:val="16"/>
                <w:lang w:eastAsia="sv-SE"/>
              </w:rPr>
              <w:t xml:space="preserve">eller </w:t>
            </w:r>
            <w:r w:rsidRPr="00E60EF9">
              <w:rPr>
                <w:rFonts w:eastAsia="Times New Roman"/>
                <w:sz w:val="16"/>
                <w:szCs w:val="16"/>
                <w:lang w:eastAsia="sv-SE"/>
              </w:rPr>
              <w:t xml:space="preserve">riskerat få hälsa allvarligt försämrad anmäls till Läkemedelsverket. </w:t>
            </w:r>
            <w:r w:rsidRPr="00E60EF9">
              <w:rPr>
                <w:sz w:val="16"/>
                <w:szCs w:val="16"/>
              </w:rPr>
              <w:t>Förskrivare fyller i blankett som liksom produkt skickas till HMC som ansvarar för att rapport till Läkemedelsverket komplettera</w:t>
            </w:r>
            <w:r>
              <w:rPr>
                <w:sz w:val="16"/>
                <w:szCs w:val="16"/>
              </w:rPr>
              <w:t>s</w:t>
            </w:r>
            <w:r w:rsidRPr="00E60EF9">
              <w:rPr>
                <w:sz w:val="16"/>
                <w:szCs w:val="16"/>
              </w:rPr>
              <w:t xml:space="preserve"> med en teknisk utredning.</w:t>
            </w:r>
          </w:p>
        </w:tc>
      </w:tr>
      <w:tr w:rsidR="00322E35" w:rsidRPr="0055350F" w:rsidTr="007A57F8">
        <w:trPr>
          <w:trHeight w:val="354"/>
        </w:trPr>
        <w:tc>
          <w:tcPr>
            <w:tcW w:w="2041" w:type="dxa"/>
            <w:shd w:val="clear" w:color="auto" w:fill="FFFFFF"/>
          </w:tcPr>
          <w:p w:rsidR="00322E35" w:rsidRPr="00E60EF9" w:rsidRDefault="00322E35" w:rsidP="000C6D52">
            <w:pPr>
              <w:pStyle w:val="Rubrik2"/>
              <w:spacing w:before="0" w:line="240" w:lineRule="auto"/>
              <w:ind w:left="-108" w:right="284"/>
              <w:rPr>
                <w:rFonts w:cs="Calibri"/>
                <w:b w:val="0"/>
                <w:sz w:val="16"/>
                <w:szCs w:val="16"/>
              </w:rPr>
            </w:pPr>
            <w:r w:rsidRPr="00E60EF9">
              <w:rPr>
                <w:rFonts w:cs="Calibri"/>
                <w:b w:val="0"/>
                <w:sz w:val="16"/>
                <w:szCs w:val="16"/>
              </w:rPr>
              <w:t>Leverantörsavvikelse</w:t>
            </w:r>
          </w:p>
        </w:tc>
        <w:tc>
          <w:tcPr>
            <w:tcW w:w="8352" w:type="dxa"/>
            <w:shd w:val="clear" w:color="auto" w:fill="FFFFFF"/>
          </w:tcPr>
          <w:p w:rsidR="00322E35" w:rsidRPr="00E60EF9" w:rsidRDefault="00322E35" w:rsidP="000C6D52">
            <w:pPr>
              <w:pStyle w:val="Rubrik2"/>
              <w:spacing w:before="0" w:after="120" w:line="240" w:lineRule="auto"/>
              <w:ind w:left="-108" w:right="284"/>
            </w:pPr>
            <w:r w:rsidRPr="00E60EF9">
              <w:rPr>
                <w:rFonts w:cs="Calibri"/>
                <w:b w:val="0"/>
                <w:sz w:val="16"/>
                <w:szCs w:val="16"/>
              </w:rPr>
              <w:t>Avvikelser som rapporteras till berörd leverantör</w:t>
            </w:r>
            <w:r>
              <w:rPr>
                <w:rFonts w:cs="Calibri"/>
                <w:b w:val="0"/>
                <w:sz w:val="16"/>
                <w:szCs w:val="16"/>
              </w:rPr>
              <w:t>,</w:t>
            </w:r>
            <w:r w:rsidRPr="00E60EF9">
              <w:rPr>
                <w:rFonts w:cs="Calibri"/>
                <w:b w:val="0"/>
                <w:sz w:val="16"/>
                <w:szCs w:val="16"/>
              </w:rPr>
              <w:t xml:space="preserve"> oftast leveransförseningar eller felleveranser.</w:t>
            </w:r>
          </w:p>
        </w:tc>
      </w:tr>
    </w:tbl>
    <w:p w:rsidR="00322E35" w:rsidRDefault="00322E35" w:rsidP="00AA5943">
      <w:pPr>
        <w:pStyle w:val="Fotnotstext"/>
      </w:pPr>
    </w:p>
  </w:footnote>
  <w:footnote w:id="6">
    <w:p w:rsidR="00322E35" w:rsidRDefault="00322E35" w:rsidP="00BD0F01">
      <w:pPr>
        <w:pStyle w:val="Fotnotstext"/>
        <w:spacing w:after="0"/>
      </w:pPr>
      <w:r>
        <w:rPr>
          <w:rStyle w:val="Fotnotsreferens"/>
        </w:rPr>
        <w:footnoteRef/>
      </w:r>
      <w:r>
        <w:t xml:space="preserve"> </w:t>
      </w:r>
      <w:r w:rsidRPr="00223188">
        <w:rPr>
          <w:sz w:val="16"/>
          <w:szCs w:val="16"/>
        </w:rPr>
        <w:t>Rehabiliteringsärenden som överstiger 14 dagar</w:t>
      </w:r>
    </w:p>
  </w:footnote>
  <w:footnote w:id="7">
    <w:p w:rsidR="00322E35" w:rsidRPr="00223188" w:rsidRDefault="00322E35" w:rsidP="00BD0F01">
      <w:pPr>
        <w:pStyle w:val="Fotnotstext"/>
        <w:rPr>
          <w:sz w:val="16"/>
          <w:szCs w:val="16"/>
        </w:rPr>
      </w:pPr>
      <w:r>
        <w:rPr>
          <w:rStyle w:val="Fotnotsreferens"/>
        </w:rPr>
        <w:footnoteRef/>
      </w:r>
      <w:r w:rsidRPr="00AF3241">
        <w:rPr>
          <w:sz w:val="16"/>
          <w:szCs w:val="16"/>
        </w:rPr>
        <w:t xml:space="preserve"> Andel personer som inte haft mer än 5 sjukdagar för egen sjukdom under kalenderåret</w:t>
      </w:r>
      <w:r w:rsidRPr="00223188">
        <w:rPr>
          <w:sz w:val="16"/>
          <w:szCs w:val="16"/>
        </w:rPr>
        <w:t xml:space="preserve"> </w:t>
      </w:r>
    </w:p>
  </w:footnote>
  <w:footnote w:id="8">
    <w:p w:rsidR="00322E35" w:rsidRPr="00D51F87" w:rsidRDefault="00322E35" w:rsidP="00AA76D5">
      <w:pPr>
        <w:pStyle w:val="Fotnotstext"/>
      </w:pPr>
      <w:r w:rsidRPr="00FD76DE">
        <w:rPr>
          <w:rStyle w:val="Fotnotsreferens"/>
        </w:rPr>
        <w:footnoteRef/>
      </w:r>
      <w:r w:rsidRPr="00D51F87">
        <w:rPr>
          <w:rFonts w:cs="Calibri"/>
          <w:sz w:val="16"/>
          <w:szCs w:val="16"/>
        </w:rPr>
        <w:t>Ingår inte i Hjälpmedelscentrums redovisning då kostnader debiteras direkt till kund från leverantör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48" w:type="dxa"/>
      <w:tblLayout w:type="fixed"/>
      <w:tblLook w:val="04A0" w:firstRow="1" w:lastRow="0" w:firstColumn="1" w:lastColumn="0" w:noHBand="0" w:noVBand="1"/>
    </w:tblPr>
    <w:tblGrid>
      <w:gridCol w:w="5033"/>
      <w:gridCol w:w="1455"/>
      <w:gridCol w:w="1701"/>
      <w:gridCol w:w="1659"/>
    </w:tblGrid>
    <w:tr w:rsidR="00322E35" w:rsidRPr="0098671C" w:rsidTr="000C6D52">
      <w:trPr>
        <w:trHeight w:val="581"/>
      </w:trPr>
      <w:tc>
        <w:tcPr>
          <w:tcW w:w="5033" w:type="dxa"/>
          <w:vMerge w:val="restart"/>
          <w:shd w:val="clear" w:color="auto" w:fill="auto"/>
        </w:tcPr>
        <w:p w:rsidR="00322E35" w:rsidRPr="0098671C" w:rsidRDefault="00322E35" w:rsidP="000C6D52">
          <w:pPr>
            <w:pStyle w:val="Sidhuvud"/>
            <w:rPr>
              <w:noProof/>
              <w:lang w:eastAsia="sv-SE"/>
            </w:rPr>
          </w:pPr>
          <w:r w:rsidRPr="00030193">
            <w:rPr>
              <w:noProof/>
              <w:lang w:eastAsia="sv-SE"/>
            </w:rPr>
            <w:drawing>
              <wp:inline distT="0" distB="0" distL="0" distR="0" wp14:anchorId="48F5C648" wp14:editId="17C49F43">
                <wp:extent cx="1276350" cy="361950"/>
                <wp:effectExtent l="0" t="0" r="0" b="0"/>
                <wp:docPr id="3" name="Bildobjekt 4" descr="C:\Users\1b5d\AppData\Local\Microsoft\Windows\Temporary Internet Files\Content.Outlook\04H6G7HQ\regionvastmanland_liggande_4f_lednings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C:\Users\1b5d\AppData\Local\Microsoft\Windows\Temporary Internet Files\Content.Outlook\04H6G7HQ\regionvastmanland_liggande_4f_ledningssyste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61950"/>
                        </a:xfrm>
                        <a:prstGeom prst="rect">
                          <a:avLst/>
                        </a:prstGeom>
                        <a:noFill/>
                        <a:ln>
                          <a:noFill/>
                        </a:ln>
                      </pic:spPr>
                    </pic:pic>
                  </a:graphicData>
                </a:graphic>
              </wp:inline>
            </w:drawing>
          </w:r>
        </w:p>
      </w:tc>
      <w:tc>
        <w:tcPr>
          <w:tcW w:w="3156" w:type="dxa"/>
          <w:gridSpan w:val="2"/>
          <w:shd w:val="clear" w:color="auto" w:fill="auto"/>
        </w:tcPr>
        <w:p w:rsidR="00322E35" w:rsidRPr="0098671C" w:rsidRDefault="00BE7B87" w:rsidP="000C6D52">
          <w:pPr>
            <w:pStyle w:val="Dokumentyp"/>
          </w:pPr>
          <w:fldSimple w:instr=" DOCPROPERTY  CCategory  \* MERGEFORMAT ">
            <w:r w:rsidR="00322E35">
              <w:t>Rapport</w:t>
            </w:r>
          </w:fldSimple>
        </w:p>
      </w:tc>
      <w:tc>
        <w:tcPr>
          <w:tcW w:w="1659" w:type="dxa"/>
          <w:shd w:val="clear" w:color="auto" w:fill="auto"/>
        </w:tcPr>
        <w:p w:rsidR="00322E35" w:rsidRPr="0098671C" w:rsidRDefault="00322E35" w:rsidP="000C6D52">
          <w:pPr>
            <w:pStyle w:val="Sidhuvud"/>
            <w:spacing w:before="120"/>
            <w:jc w:val="right"/>
          </w:pPr>
          <w:r w:rsidRPr="0098671C">
            <w:fldChar w:fldCharType="begin"/>
          </w:r>
          <w:r w:rsidRPr="0098671C">
            <w:instrText>PAGE  \* Arabic  \* MERGEFORMAT</w:instrText>
          </w:r>
          <w:r w:rsidRPr="0098671C">
            <w:fldChar w:fldCharType="separate"/>
          </w:r>
          <w:r w:rsidR="000C27FF">
            <w:rPr>
              <w:noProof/>
            </w:rPr>
            <w:t>1</w:t>
          </w:r>
          <w:r w:rsidRPr="0098671C">
            <w:fldChar w:fldCharType="end"/>
          </w:r>
          <w:r w:rsidRPr="0098671C">
            <w:t xml:space="preserve"> (</w:t>
          </w:r>
          <w:fldSimple w:instr="NUMPAGES  \* Arabic  \* MERGEFORMAT">
            <w:r w:rsidR="000C27FF">
              <w:rPr>
                <w:noProof/>
              </w:rPr>
              <w:t>17</w:t>
            </w:r>
          </w:fldSimple>
          <w:r w:rsidRPr="0098671C">
            <w:t>)</w:t>
          </w:r>
        </w:p>
      </w:tc>
    </w:tr>
    <w:tr w:rsidR="00322E35" w:rsidRPr="0098671C" w:rsidTr="000C6D52">
      <w:trPr>
        <w:trHeight w:val="315"/>
      </w:trPr>
      <w:tc>
        <w:tcPr>
          <w:tcW w:w="5033" w:type="dxa"/>
          <w:vMerge/>
          <w:shd w:val="clear" w:color="auto" w:fill="auto"/>
        </w:tcPr>
        <w:p w:rsidR="00322E35" w:rsidRPr="0098671C" w:rsidRDefault="00322E35" w:rsidP="000C6D52">
          <w:pPr>
            <w:pStyle w:val="Sidhuvud"/>
            <w:rPr>
              <w:noProof/>
              <w:lang w:eastAsia="sv-SE"/>
            </w:rPr>
          </w:pPr>
        </w:p>
      </w:tc>
      <w:tc>
        <w:tcPr>
          <w:tcW w:w="1455" w:type="dxa"/>
          <w:shd w:val="clear" w:color="auto" w:fill="auto"/>
        </w:tcPr>
        <w:p w:rsidR="00322E35" w:rsidRPr="0098671C" w:rsidRDefault="00322E35" w:rsidP="000C6D52">
          <w:pPr>
            <w:pStyle w:val="Ledtext"/>
          </w:pPr>
          <w:r w:rsidRPr="0098671C">
            <w:t>Giltigt fr.o.m.</w:t>
          </w:r>
        </w:p>
      </w:tc>
      <w:tc>
        <w:tcPr>
          <w:tcW w:w="1701" w:type="dxa"/>
          <w:shd w:val="clear" w:color="auto" w:fill="auto"/>
        </w:tcPr>
        <w:p w:rsidR="00322E35" w:rsidRPr="0098671C" w:rsidRDefault="00322E35" w:rsidP="000C6D52">
          <w:pPr>
            <w:pStyle w:val="Ledtext"/>
          </w:pPr>
          <w:r w:rsidRPr="0098671C">
            <w:t>Dok.nummer-Utgåva</w:t>
          </w:r>
        </w:p>
      </w:tc>
      <w:tc>
        <w:tcPr>
          <w:tcW w:w="1659" w:type="dxa"/>
          <w:shd w:val="clear" w:color="auto" w:fill="auto"/>
        </w:tcPr>
        <w:p w:rsidR="00322E35" w:rsidRPr="0098671C" w:rsidRDefault="00322E35" w:rsidP="000C6D52">
          <w:pPr>
            <w:pStyle w:val="Ledtext"/>
          </w:pPr>
        </w:p>
      </w:tc>
    </w:tr>
    <w:tr w:rsidR="00322E35" w:rsidRPr="0098671C" w:rsidTr="000C6D52">
      <w:trPr>
        <w:trHeight w:val="468"/>
      </w:trPr>
      <w:tc>
        <w:tcPr>
          <w:tcW w:w="5033" w:type="dxa"/>
          <w:tcBorders>
            <w:bottom w:val="single" w:sz="4" w:space="0" w:color="auto"/>
          </w:tcBorders>
          <w:shd w:val="clear" w:color="auto" w:fill="auto"/>
        </w:tcPr>
        <w:p w:rsidR="00322E35" w:rsidRPr="0098671C" w:rsidRDefault="00322E35" w:rsidP="000C6D52">
          <w:pPr>
            <w:pStyle w:val="Sidhuvud"/>
            <w:rPr>
              <w:noProof/>
              <w:lang w:eastAsia="sv-SE"/>
            </w:rPr>
          </w:pPr>
        </w:p>
      </w:tc>
      <w:tc>
        <w:tcPr>
          <w:tcW w:w="1455" w:type="dxa"/>
          <w:tcBorders>
            <w:bottom w:val="single" w:sz="4" w:space="0" w:color="auto"/>
          </w:tcBorders>
          <w:shd w:val="clear" w:color="auto" w:fill="auto"/>
        </w:tcPr>
        <w:p w:rsidR="00322E35" w:rsidRPr="0098671C" w:rsidRDefault="00322E35" w:rsidP="000C6D52">
          <w:pPr>
            <w:pStyle w:val="Sidhuvud"/>
          </w:pPr>
          <w:r>
            <w:fldChar w:fldCharType="begin"/>
          </w:r>
          <w:r>
            <w:instrText xml:space="preserve"> DOCPROPERTY  ValidFrom  \* MERGEFORMAT </w:instrText>
          </w:r>
          <w:r>
            <w:fldChar w:fldCharType="end"/>
          </w:r>
        </w:p>
      </w:tc>
      <w:tc>
        <w:tcPr>
          <w:tcW w:w="1701" w:type="dxa"/>
          <w:tcBorders>
            <w:bottom w:val="single" w:sz="4" w:space="0" w:color="auto"/>
          </w:tcBorders>
          <w:shd w:val="clear" w:color="auto" w:fill="auto"/>
        </w:tcPr>
        <w:p w:rsidR="00322E35" w:rsidRPr="0098671C" w:rsidRDefault="00BE7B87" w:rsidP="000C6D52">
          <w:pPr>
            <w:pStyle w:val="Sidhuvud"/>
          </w:pPr>
          <w:fldSimple w:instr=" DOCPROPERTY  DocumentNo  \* MERGEFORMAT ">
            <w:r w:rsidR="00322E35">
              <w:t>40578-1</w:t>
            </w:r>
          </w:fldSimple>
        </w:p>
      </w:tc>
      <w:tc>
        <w:tcPr>
          <w:tcW w:w="1659" w:type="dxa"/>
          <w:tcBorders>
            <w:bottom w:val="single" w:sz="4" w:space="0" w:color="auto"/>
          </w:tcBorders>
          <w:shd w:val="clear" w:color="auto" w:fill="auto"/>
        </w:tcPr>
        <w:p w:rsidR="00322E35" w:rsidRPr="0098671C" w:rsidRDefault="00322E35" w:rsidP="000C6D52">
          <w:pPr>
            <w:pStyle w:val="Sidhuvud"/>
          </w:pPr>
        </w:p>
      </w:tc>
    </w:tr>
  </w:tbl>
  <w:p w:rsidR="00322E35" w:rsidRDefault="00BE7B87" w:rsidP="009B704D">
    <w:pPr>
      <w:pStyle w:val="Titel"/>
    </w:pPr>
    <w:fldSimple w:instr=" DOCPROPERTY  CTitle  \* MERGEFORMAT ">
      <w:r w:rsidR="00322E35">
        <w:t>Årsredovisning 2017 - Förvaltningstotal Hjälpmedelscentrum</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E35" w:rsidRDefault="00322E35" w:rsidP="00BC4ED8">
    <w:pPr>
      <w:pStyle w:val="Sidhuvud"/>
      <w:spacing w:before="2000" w:after="2000"/>
      <w:ind w:left="-1985"/>
      <w:jc w:val="center"/>
    </w:pPr>
    <w:r w:rsidRPr="00A77884">
      <w:rPr>
        <w:noProof/>
        <w:lang w:eastAsia="sv-SE"/>
      </w:rPr>
      <w:drawing>
        <wp:inline distT="0" distB="0" distL="0" distR="0" wp14:anchorId="6D1E7E6A" wp14:editId="45E4A7BC">
          <wp:extent cx="2647950" cy="704850"/>
          <wp:effectExtent l="0" t="0" r="0" b="0"/>
          <wp:docPr id="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704850"/>
                  </a:xfrm>
                  <a:prstGeom prst="rect">
                    <a:avLst/>
                  </a:prstGeom>
                  <a:noFill/>
                  <a:ln>
                    <a:noFill/>
                  </a:ln>
                </pic:spPr>
              </pic:pic>
            </a:graphicData>
          </a:graphic>
        </wp:inline>
      </w:drawing>
    </w:r>
  </w:p>
  <w:p w:rsidR="00322E35" w:rsidRPr="00BC4ED8" w:rsidRDefault="00322E35" w:rsidP="00BC4ED8">
    <w:pPr>
      <w:pStyle w:val="Titelfrsttsida"/>
    </w:pPr>
    <w:r>
      <w:t>Massmediaarbete</w:t>
    </w:r>
  </w:p>
  <w:p w:rsidR="00322E35" w:rsidRDefault="00322E35">
    <w:pPr>
      <w:pStyle w:val="Sidhuvud"/>
    </w:pPr>
  </w:p>
  <w:p w:rsidR="00322E35" w:rsidRDefault="00322E35">
    <w:pPr>
      <w:pStyle w:val="Sidhuvud"/>
    </w:pPr>
  </w:p>
  <w:p w:rsidR="00322E35" w:rsidRDefault="00322E3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068DC6"/>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C343D5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AF273A"/>
    <w:multiLevelType w:val="hybridMultilevel"/>
    <w:tmpl w:val="3CD402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C7B6C60"/>
    <w:multiLevelType w:val="multilevel"/>
    <w:tmpl w:val="139CA3BC"/>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4" w15:restartNumberingAfterBreak="0">
    <w:nsid w:val="18330CB0"/>
    <w:multiLevelType w:val="hybridMultilevel"/>
    <w:tmpl w:val="C0F4D960"/>
    <w:lvl w:ilvl="0" w:tplc="291426E4">
      <w:start w:val="1"/>
      <w:numFmt w:val="bullet"/>
      <w:lvlText w:val="•"/>
      <w:lvlJc w:val="left"/>
      <w:pPr>
        <w:tabs>
          <w:tab w:val="num" w:pos="720"/>
        </w:tabs>
        <w:ind w:left="720" w:hanging="360"/>
      </w:pPr>
      <w:rPr>
        <w:rFonts w:ascii="Arial" w:hAnsi="Arial" w:cs="Times New Roman" w:hint="default"/>
      </w:rPr>
    </w:lvl>
    <w:lvl w:ilvl="1" w:tplc="291426E4">
      <w:start w:val="1"/>
      <w:numFmt w:val="bullet"/>
      <w:lvlText w:val="•"/>
      <w:lvlJc w:val="left"/>
      <w:pPr>
        <w:tabs>
          <w:tab w:val="num" w:pos="1440"/>
        </w:tabs>
        <w:ind w:left="1440" w:hanging="360"/>
      </w:pPr>
      <w:rPr>
        <w:rFonts w:ascii="Arial" w:hAnsi="Arial" w:cs="Times New Roman" w:hint="default"/>
      </w:rPr>
    </w:lvl>
    <w:lvl w:ilvl="2" w:tplc="125A5926">
      <w:start w:val="1"/>
      <w:numFmt w:val="bullet"/>
      <w:lvlText w:val="•"/>
      <w:lvlJc w:val="left"/>
      <w:pPr>
        <w:tabs>
          <w:tab w:val="num" w:pos="2160"/>
        </w:tabs>
        <w:ind w:left="2160" w:hanging="360"/>
      </w:pPr>
      <w:rPr>
        <w:rFonts w:ascii="Arial" w:hAnsi="Arial" w:cs="Times New Roman" w:hint="default"/>
      </w:rPr>
    </w:lvl>
    <w:lvl w:ilvl="3" w:tplc="9C62F794">
      <w:start w:val="1"/>
      <w:numFmt w:val="bullet"/>
      <w:lvlText w:val="•"/>
      <w:lvlJc w:val="left"/>
      <w:pPr>
        <w:tabs>
          <w:tab w:val="num" w:pos="2880"/>
        </w:tabs>
        <w:ind w:left="2880" w:hanging="360"/>
      </w:pPr>
      <w:rPr>
        <w:rFonts w:ascii="Arial" w:hAnsi="Arial" w:cs="Times New Roman" w:hint="default"/>
      </w:rPr>
    </w:lvl>
    <w:lvl w:ilvl="4" w:tplc="6FFA5130">
      <w:start w:val="1"/>
      <w:numFmt w:val="bullet"/>
      <w:lvlText w:val="•"/>
      <w:lvlJc w:val="left"/>
      <w:pPr>
        <w:tabs>
          <w:tab w:val="num" w:pos="3600"/>
        </w:tabs>
        <w:ind w:left="3600" w:hanging="360"/>
      </w:pPr>
      <w:rPr>
        <w:rFonts w:ascii="Arial" w:hAnsi="Arial" w:cs="Times New Roman" w:hint="default"/>
      </w:rPr>
    </w:lvl>
    <w:lvl w:ilvl="5" w:tplc="F168B1E0">
      <w:start w:val="1"/>
      <w:numFmt w:val="bullet"/>
      <w:lvlText w:val="•"/>
      <w:lvlJc w:val="left"/>
      <w:pPr>
        <w:tabs>
          <w:tab w:val="num" w:pos="4320"/>
        </w:tabs>
        <w:ind w:left="4320" w:hanging="360"/>
      </w:pPr>
      <w:rPr>
        <w:rFonts w:ascii="Arial" w:hAnsi="Arial" w:cs="Times New Roman" w:hint="default"/>
      </w:rPr>
    </w:lvl>
    <w:lvl w:ilvl="6" w:tplc="959A9C94">
      <w:start w:val="1"/>
      <w:numFmt w:val="bullet"/>
      <w:lvlText w:val="•"/>
      <w:lvlJc w:val="left"/>
      <w:pPr>
        <w:tabs>
          <w:tab w:val="num" w:pos="5040"/>
        </w:tabs>
        <w:ind w:left="5040" w:hanging="360"/>
      </w:pPr>
      <w:rPr>
        <w:rFonts w:ascii="Arial" w:hAnsi="Arial" w:cs="Times New Roman" w:hint="default"/>
      </w:rPr>
    </w:lvl>
    <w:lvl w:ilvl="7" w:tplc="82C8BC90">
      <w:start w:val="1"/>
      <w:numFmt w:val="bullet"/>
      <w:lvlText w:val="•"/>
      <w:lvlJc w:val="left"/>
      <w:pPr>
        <w:tabs>
          <w:tab w:val="num" w:pos="5760"/>
        </w:tabs>
        <w:ind w:left="5760" w:hanging="360"/>
      </w:pPr>
      <w:rPr>
        <w:rFonts w:ascii="Arial" w:hAnsi="Arial" w:cs="Times New Roman" w:hint="default"/>
      </w:rPr>
    </w:lvl>
    <w:lvl w:ilvl="8" w:tplc="67EC30E4">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9C42354"/>
    <w:multiLevelType w:val="hybridMultilevel"/>
    <w:tmpl w:val="22520B7E"/>
    <w:lvl w:ilvl="0" w:tplc="291426E4">
      <w:start w:val="1"/>
      <w:numFmt w:val="bullet"/>
      <w:lvlText w:val="•"/>
      <w:lvlJc w:val="left"/>
      <w:pPr>
        <w:tabs>
          <w:tab w:val="num" w:pos="720"/>
        </w:tabs>
        <w:ind w:left="720" w:hanging="360"/>
      </w:pPr>
      <w:rPr>
        <w:rFonts w:ascii="Arial" w:hAnsi="Arial" w:cs="Times New Roman" w:hint="default"/>
      </w:rPr>
    </w:lvl>
    <w:lvl w:ilvl="1" w:tplc="291426E4">
      <w:start w:val="1"/>
      <w:numFmt w:val="bullet"/>
      <w:lvlText w:val="•"/>
      <w:lvlJc w:val="left"/>
      <w:pPr>
        <w:tabs>
          <w:tab w:val="num" w:pos="1440"/>
        </w:tabs>
        <w:ind w:left="1440" w:hanging="360"/>
      </w:pPr>
      <w:rPr>
        <w:rFonts w:ascii="Arial" w:hAnsi="Arial" w:cs="Times New Roman" w:hint="default"/>
      </w:rPr>
    </w:lvl>
    <w:lvl w:ilvl="2" w:tplc="125A5926">
      <w:start w:val="1"/>
      <w:numFmt w:val="bullet"/>
      <w:lvlText w:val="•"/>
      <w:lvlJc w:val="left"/>
      <w:pPr>
        <w:tabs>
          <w:tab w:val="num" w:pos="2160"/>
        </w:tabs>
        <w:ind w:left="2160" w:hanging="360"/>
      </w:pPr>
      <w:rPr>
        <w:rFonts w:ascii="Arial" w:hAnsi="Arial" w:cs="Times New Roman" w:hint="default"/>
      </w:rPr>
    </w:lvl>
    <w:lvl w:ilvl="3" w:tplc="9C62F794">
      <w:start w:val="1"/>
      <w:numFmt w:val="bullet"/>
      <w:lvlText w:val="•"/>
      <w:lvlJc w:val="left"/>
      <w:pPr>
        <w:tabs>
          <w:tab w:val="num" w:pos="2880"/>
        </w:tabs>
        <w:ind w:left="2880" w:hanging="360"/>
      </w:pPr>
      <w:rPr>
        <w:rFonts w:ascii="Arial" w:hAnsi="Arial" w:cs="Times New Roman" w:hint="default"/>
      </w:rPr>
    </w:lvl>
    <w:lvl w:ilvl="4" w:tplc="6FFA5130">
      <w:start w:val="1"/>
      <w:numFmt w:val="bullet"/>
      <w:lvlText w:val="•"/>
      <w:lvlJc w:val="left"/>
      <w:pPr>
        <w:tabs>
          <w:tab w:val="num" w:pos="3600"/>
        </w:tabs>
        <w:ind w:left="3600" w:hanging="360"/>
      </w:pPr>
      <w:rPr>
        <w:rFonts w:ascii="Arial" w:hAnsi="Arial" w:cs="Times New Roman" w:hint="default"/>
      </w:rPr>
    </w:lvl>
    <w:lvl w:ilvl="5" w:tplc="F168B1E0">
      <w:start w:val="1"/>
      <w:numFmt w:val="bullet"/>
      <w:lvlText w:val="•"/>
      <w:lvlJc w:val="left"/>
      <w:pPr>
        <w:tabs>
          <w:tab w:val="num" w:pos="4320"/>
        </w:tabs>
        <w:ind w:left="4320" w:hanging="360"/>
      </w:pPr>
      <w:rPr>
        <w:rFonts w:ascii="Arial" w:hAnsi="Arial" w:cs="Times New Roman" w:hint="default"/>
      </w:rPr>
    </w:lvl>
    <w:lvl w:ilvl="6" w:tplc="959A9C94">
      <w:start w:val="1"/>
      <w:numFmt w:val="bullet"/>
      <w:lvlText w:val="•"/>
      <w:lvlJc w:val="left"/>
      <w:pPr>
        <w:tabs>
          <w:tab w:val="num" w:pos="5040"/>
        </w:tabs>
        <w:ind w:left="5040" w:hanging="360"/>
      </w:pPr>
      <w:rPr>
        <w:rFonts w:ascii="Arial" w:hAnsi="Arial" w:cs="Times New Roman" w:hint="default"/>
      </w:rPr>
    </w:lvl>
    <w:lvl w:ilvl="7" w:tplc="82C8BC90">
      <w:start w:val="1"/>
      <w:numFmt w:val="bullet"/>
      <w:lvlText w:val="•"/>
      <w:lvlJc w:val="left"/>
      <w:pPr>
        <w:tabs>
          <w:tab w:val="num" w:pos="5760"/>
        </w:tabs>
        <w:ind w:left="5760" w:hanging="360"/>
      </w:pPr>
      <w:rPr>
        <w:rFonts w:ascii="Arial" w:hAnsi="Arial" w:cs="Times New Roman" w:hint="default"/>
      </w:rPr>
    </w:lvl>
    <w:lvl w:ilvl="8" w:tplc="67EC30E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9433C33"/>
    <w:multiLevelType w:val="hybridMultilevel"/>
    <w:tmpl w:val="638449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752738"/>
    <w:multiLevelType w:val="hybridMultilevel"/>
    <w:tmpl w:val="A2B20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AD1021"/>
    <w:multiLevelType w:val="hybridMultilevel"/>
    <w:tmpl w:val="756C2418"/>
    <w:lvl w:ilvl="0" w:tplc="3FF289F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CF2798"/>
    <w:multiLevelType w:val="hybridMultilevel"/>
    <w:tmpl w:val="6FD83F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0F3BD7"/>
    <w:multiLevelType w:val="hybridMultilevel"/>
    <w:tmpl w:val="D1729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035027"/>
    <w:multiLevelType w:val="hybridMultilevel"/>
    <w:tmpl w:val="7C2AF7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B56A07"/>
    <w:multiLevelType w:val="hybridMultilevel"/>
    <w:tmpl w:val="764E22BA"/>
    <w:lvl w:ilvl="0" w:tplc="6EE85162">
      <w:numFmt w:val="bullet"/>
      <w:lvlText w:val="-"/>
      <w:lvlJc w:val="left"/>
      <w:pPr>
        <w:ind w:left="1440" w:hanging="360"/>
      </w:pPr>
      <w:rPr>
        <w:rFonts w:ascii="Calibri" w:eastAsia="Calibri" w:hAnsi="Calibri"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3CC220E8"/>
    <w:multiLevelType w:val="hybridMultilevel"/>
    <w:tmpl w:val="FE6E69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BE26A6"/>
    <w:multiLevelType w:val="multilevel"/>
    <w:tmpl w:val="4CE2D906"/>
    <w:lvl w:ilvl="0">
      <w:start w:val="1"/>
      <w:numFmt w:val="decimal"/>
      <w:lvlText w:val="%1"/>
      <w:lvlJc w:val="left"/>
      <w:pPr>
        <w:ind w:left="-1134"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93099D"/>
    <w:multiLevelType w:val="hybridMultilevel"/>
    <w:tmpl w:val="116A8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0402F1"/>
    <w:multiLevelType w:val="hybridMultilevel"/>
    <w:tmpl w:val="9A2E5C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0E6901"/>
    <w:multiLevelType w:val="hybridMultilevel"/>
    <w:tmpl w:val="12361B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9C57394"/>
    <w:multiLevelType w:val="hybridMultilevel"/>
    <w:tmpl w:val="6E68FB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F594430"/>
    <w:multiLevelType w:val="hybridMultilevel"/>
    <w:tmpl w:val="599AC670"/>
    <w:lvl w:ilvl="0" w:tplc="291426E4">
      <w:start w:val="1"/>
      <w:numFmt w:val="bullet"/>
      <w:lvlText w:val="•"/>
      <w:lvlJc w:val="left"/>
      <w:pPr>
        <w:tabs>
          <w:tab w:val="num" w:pos="720"/>
        </w:tabs>
        <w:ind w:left="720" w:hanging="360"/>
      </w:pPr>
      <w:rPr>
        <w:rFonts w:ascii="Arial" w:hAnsi="Arial" w:cs="Times New Roman" w:hint="default"/>
      </w:rPr>
    </w:lvl>
    <w:lvl w:ilvl="1" w:tplc="47E2FE58">
      <w:start w:val="3983"/>
      <w:numFmt w:val="bullet"/>
      <w:lvlText w:val="–"/>
      <w:lvlJc w:val="left"/>
      <w:pPr>
        <w:tabs>
          <w:tab w:val="num" w:pos="1440"/>
        </w:tabs>
        <w:ind w:left="1440" w:hanging="360"/>
      </w:pPr>
      <w:rPr>
        <w:rFonts w:ascii="Arial" w:hAnsi="Arial" w:cs="Times New Roman" w:hint="default"/>
      </w:rPr>
    </w:lvl>
    <w:lvl w:ilvl="2" w:tplc="125A5926">
      <w:start w:val="1"/>
      <w:numFmt w:val="bullet"/>
      <w:lvlText w:val="•"/>
      <w:lvlJc w:val="left"/>
      <w:pPr>
        <w:tabs>
          <w:tab w:val="num" w:pos="2160"/>
        </w:tabs>
        <w:ind w:left="2160" w:hanging="360"/>
      </w:pPr>
      <w:rPr>
        <w:rFonts w:ascii="Arial" w:hAnsi="Arial" w:cs="Times New Roman" w:hint="default"/>
      </w:rPr>
    </w:lvl>
    <w:lvl w:ilvl="3" w:tplc="9C62F794">
      <w:start w:val="1"/>
      <w:numFmt w:val="bullet"/>
      <w:lvlText w:val="•"/>
      <w:lvlJc w:val="left"/>
      <w:pPr>
        <w:tabs>
          <w:tab w:val="num" w:pos="2880"/>
        </w:tabs>
        <w:ind w:left="2880" w:hanging="360"/>
      </w:pPr>
      <w:rPr>
        <w:rFonts w:ascii="Arial" w:hAnsi="Arial" w:cs="Times New Roman" w:hint="default"/>
      </w:rPr>
    </w:lvl>
    <w:lvl w:ilvl="4" w:tplc="6FFA5130">
      <w:start w:val="1"/>
      <w:numFmt w:val="bullet"/>
      <w:lvlText w:val="•"/>
      <w:lvlJc w:val="left"/>
      <w:pPr>
        <w:tabs>
          <w:tab w:val="num" w:pos="3600"/>
        </w:tabs>
        <w:ind w:left="3600" w:hanging="360"/>
      </w:pPr>
      <w:rPr>
        <w:rFonts w:ascii="Arial" w:hAnsi="Arial" w:cs="Times New Roman" w:hint="default"/>
      </w:rPr>
    </w:lvl>
    <w:lvl w:ilvl="5" w:tplc="F168B1E0">
      <w:start w:val="1"/>
      <w:numFmt w:val="bullet"/>
      <w:lvlText w:val="•"/>
      <w:lvlJc w:val="left"/>
      <w:pPr>
        <w:tabs>
          <w:tab w:val="num" w:pos="4320"/>
        </w:tabs>
        <w:ind w:left="4320" w:hanging="360"/>
      </w:pPr>
      <w:rPr>
        <w:rFonts w:ascii="Arial" w:hAnsi="Arial" w:cs="Times New Roman" w:hint="default"/>
      </w:rPr>
    </w:lvl>
    <w:lvl w:ilvl="6" w:tplc="959A9C94">
      <w:start w:val="1"/>
      <w:numFmt w:val="bullet"/>
      <w:lvlText w:val="•"/>
      <w:lvlJc w:val="left"/>
      <w:pPr>
        <w:tabs>
          <w:tab w:val="num" w:pos="5040"/>
        </w:tabs>
        <w:ind w:left="5040" w:hanging="360"/>
      </w:pPr>
      <w:rPr>
        <w:rFonts w:ascii="Arial" w:hAnsi="Arial" w:cs="Times New Roman" w:hint="default"/>
      </w:rPr>
    </w:lvl>
    <w:lvl w:ilvl="7" w:tplc="82C8BC90">
      <w:start w:val="1"/>
      <w:numFmt w:val="bullet"/>
      <w:lvlText w:val="•"/>
      <w:lvlJc w:val="left"/>
      <w:pPr>
        <w:tabs>
          <w:tab w:val="num" w:pos="5760"/>
        </w:tabs>
        <w:ind w:left="5760" w:hanging="360"/>
      </w:pPr>
      <w:rPr>
        <w:rFonts w:ascii="Arial" w:hAnsi="Arial" w:cs="Times New Roman" w:hint="default"/>
      </w:rPr>
    </w:lvl>
    <w:lvl w:ilvl="8" w:tplc="67EC30E4">
      <w:start w:val="1"/>
      <w:numFmt w:val="bullet"/>
      <w:lvlText w:val="•"/>
      <w:lvlJc w:val="left"/>
      <w:pPr>
        <w:tabs>
          <w:tab w:val="num" w:pos="6480"/>
        </w:tabs>
        <w:ind w:left="6480" w:hanging="360"/>
      </w:pPr>
      <w:rPr>
        <w:rFonts w:ascii="Arial" w:hAnsi="Arial" w:cs="Times New Roman" w:hint="default"/>
      </w:rPr>
    </w:lvl>
  </w:abstractNum>
  <w:num w:numId="1">
    <w:abstractNumId w:val="15"/>
  </w:num>
  <w:num w:numId="2">
    <w:abstractNumId w:val="0"/>
  </w:num>
  <w:num w:numId="3">
    <w:abstractNumId w:val="1"/>
  </w:num>
  <w:num w:numId="4">
    <w:abstractNumId w:val="2"/>
  </w:num>
  <w:num w:numId="5">
    <w:abstractNumId w:val="14"/>
  </w:num>
  <w:num w:numId="6">
    <w:abstractNumId w:val="20"/>
  </w:num>
  <w:num w:numId="7">
    <w:abstractNumId w:val="16"/>
  </w:num>
  <w:num w:numId="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3"/>
  </w:num>
  <w:num w:numId="10">
    <w:abstractNumId w:val="7"/>
  </w:num>
  <w:num w:numId="11">
    <w:abstractNumId w:val="19"/>
  </w:num>
  <w:num w:numId="12">
    <w:abstractNumId w:val="8"/>
  </w:num>
  <w:num w:numId="13">
    <w:abstractNumId w:val="9"/>
  </w:num>
  <w:num w:numId="14">
    <w:abstractNumId w:val="17"/>
  </w:num>
  <w:num w:numId="15">
    <w:abstractNumId w:val="18"/>
  </w:num>
  <w:num w:numId="16">
    <w:abstractNumId w:val="6"/>
  </w:num>
  <w:num w:numId="17">
    <w:abstractNumId w:val="10"/>
  </w:num>
  <w:num w:numId="18">
    <w:abstractNumId w:val="5"/>
  </w:num>
  <w:num w:numId="19">
    <w:abstractNumId w:val="12"/>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D8"/>
    <w:rsid w:val="0001163C"/>
    <w:rsid w:val="00011B7B"/>
    <w:rsid w:val="0002768C"/>
    <w:rsid w:val="0003242D"/>
    <w:rsid w:val="000324B1"/>
    <w:rsid w:val="00037276"/>
    <w:rsid w:val="00037820"/>
    <w:rsid w:val="00043C66"/>
    <w:rsid w:val="0004459B"/>
    <w:rsid w:val="000464E4"/>
    <w:rsid w:val="000517CF"/>
    <w:rsid w:val="00055075"/>
    <w:rsid w:val="00066D0C"/>
    <w:rsid w:val="00076E1B"/>
    <w:rsid w:val="00076ED7"/>
    <w:rsid w:val="00084402"/>
    <w:rsid w:val="00087514"/>
    <w:rsid w:val="00092ED8"/>
    <w:rsid w:val="0009323C"/>
    <w:rsid w:val="0009513C"/>
    <w:rsid w:val="000975DA"/>
    <w:rsid w:val="000A44F8"/>
    <w:rsid w:val="000C1B79"/>
    <w:rsid w:val="000C27FF"/>
    <w:rsid w:val="000C4B0A"/>
    <w:rsid w:val="000C6D52"/>
    <w:rsid w:val="000D23C2"/>
    <w:rsid w:val="000D6B8D"/>
    <w:rsid w:val="000E2703"/>
    <w:rsid w:val="000E6664"/>
    <w:rsid w:val="000E79DD"/>
    <w:rsid w:val="000F5016"/>
    <w:rsid w:val="000F51C1"/>
    <w:rsid w:val="000F5A39"/>
    <w:rsid w:val="000F7DCC"/>
    <w:rsid w:val="0010055D"/>
    <w:rsid w:val="001013A4"/>
    <w:rsid w:val="0010171A"/>
    <w:rsid w:val="00101A86"/>
    <w:rsid w:val="0010380A"/>
    <w:rsid w:val="00131C0A"/>
    <w:rsid w:val="00146245"/>
    <w:rsid w:val="00147B53"/>
    <w:rsid w:val="0015336F"/>
    <w:rsid w:val="00157C0B"/>
    <w:rsid w:val="00160C96"/>
    <w:rsid w:val="00161880"/>
    <w:rsid w:val="00163E0E"/>
    <w:rsid w:val="00164FBC"/>
    <w:rsid w:val="00185312"/>
    <w:rsid w:val="001A4C61"/>
    <w:rsid w:val="001D29F5"/>
    <w:rsid w:val="001D3FCC"/>
    <w:rsid w:val="001E06E7"/>
    <w:rsid w:val="001F5A2D"/>
    <w:rsid w:val="0020567E"/>
    <w:rsid w:val="00216B21"/>
    <w:rsid w:val="00220D98"/>
    <w:rsid w:val="002256F4"/>
    <w:rsid w:val="00230109"/>
    <w:rsid w:val="00232FC2"/>
    <w:rsid w:val="0023360E"/>
    <w:rsid w:val="00233A67"/>
    <w:rsid w:val="00237E9B"/>
    <w:rsid w:val="00241FC1"/>
    <w:rsid w:val="00250405"/>
    <w:rsid w:val="00264FD2"/>
    <w:rsid w:val="00265097"/>
    <w:rsid w:val="00265C35"/>
    <w:rsid w:val="00266BE0"/>
    <w:rsid w:val="00270F40"/>
    <w:rsid w:val="00271835"/>
    <w:rsid w:val="00271C72"/>
    <w:rsid w:val="00271D2E"/>
    <w:rsid w:val="002770AA"/>
    <w:rsid w:val="002D46A1"/>
    <w:rsid w:val="002E1494"/>
    <w:rsid w:val="002F096A"/>
    <w:rsid w:val="002F7287"/>
    <w:rsid w:val="00301C81"/>
    <w:rsid w:val="003041F1"/>
    <w:rsid w:val="003146F6"/>
    <w:rsid w:val="00322E35"/>
    <w:rsid w:val="00326EE4"/>
    <w:rsid w:val="00334C5D"/>
    <w:rsid w:val="0035002C"/>
    <w:rsid w:val="0035463C"/>
    <w:rsid w:val="0035735B"/>
    <w:rsid w:val="003630C9"/>
    <w:rsid w:val="003714E6"/>
    <w:rsid w:val="003765E8"/>
    <w:rsid w:val="00383A0F"/>
    <w:rsid w:val="00395811"/>
    <w:rsid w:val="00397E07"/>
    <w:rsid w:val="003A119A"/>
    <w:rsid w:val="003A3425"/>
    <w:rsid w:val="003A44B6"/>
    <w:rsid w:val="003A71ED"/>
    <w:rsid w:val="003A7CE9"/>
    <w:rsid w:val="003B08C6"/>
    <w:rsid w:val="003B1AF2"/>
    <w:rsid w:val="003B211E"/>
    <w:rsid w:val="003B5416"/>
    <w:rsid w:val="003B6ED8"/>
    <w:rsid w:val="003C0C8F"/>
    <w:rsid w:val="003D15C8"/>
    <w:rsid w:val="003D65B3"/>
    <w:rsid w:val="003E1F03"/>
    <w:rsid w:val="003E1F15"/>
    <w:rsid w:val="003E5FA2"/>
    <w:rsid w:val="003F0FC1"/>
    <w:rsid w:val="003F28D2"/>
    <w:rsid w:val="003F3F8E"/>
    <w:rsid w:val="00401302"/>
    <w:rsid w:val="00401DA9"/>
    <w:rsid w:val="00404EC1"/>
    <w:rsid w:val="00406C53"/>
    <w:rsid w:val="004164D8"/>
    <w:rsid w:val="004279FC"/>
    <w:rsid w:val="004303EA"/>
    <w:rsid w:val="0043105E"/>
    <w:rsid w:val="00431C67"/>
    <w:rsid w:val="00432187"/>
    <w:rsid w:val="0045305B"/>
    <w:rsid w:val="00457DA1"/>
    <w:rsid w:val="00461402"/>
    <w:rsid w:val="00477798"/>
    <w:rsid w:val="00490537"/>
    <w:rsid w:val="00491CC3"/>
    <w:rsid w:val="004931BF"/>
    <w:rsid w:val="00496B80"/>
    <w:rsid w:val="004A0125"/>
    <w:rsid w:val="004A4DC1"/>
    <w:rsid w:val="004A605C"/>
    <w:rsid w:val="004B0249"/>
    <w:rsid w:val="004B54A5"/>
    <w:rsid w:val="004C3363"/>
    <w:rsid w:val="004D309E"/>
    <w:rsid w:val="004E50A1"/>
    <w:rsid w:val="004F6C83"/>
    <w:rsid w:val="00501E57"/>
    <w:rsid w:val="005069FE"/>
    <w:rsid w:val="0051163C"/>
    <w:rsid w:val="00512658"/>
    <w:rsid w:val="00516D4E"/>
    <w:rsid w:val="00520F1B"/>
    <w:rsid w:val="00525624"/>
    <w:rsid w:val="00526E91"/>
    <w:rsid w:val="0053592C"/>
    <w:rsid w:val="0054491F"/>
    <w:rsid w:val="005451FA"/>
    <w:rsid w:val="00553F71"/>
    <w:rsid w:val="005701D8"/>
    <w:rsid w:val="0057216F"/>
    <w:rsid w:val="00582C1D"/>
    <w:rsid w:val="0058494E"/>
    <w:rsid w:val="00586FC9"/>
    <w:rsid w:val="00596BA8"/>
    <w:rsid w:val="005B57F3"/>
    <w:rsid w:val="005B5C8D"/>
    <w:rsid w:val="005B634B"/>
    <w:rsid w:val="005B7FDF"/>
    <w:rsid w:val="005C08CD"/>
    <w:rsid w:val="005C4639"/>
    <w:rsid w:val="005C768B"/>
    <w:rsid w:val="005E430B"/>
    <w:rsid w:val="005E4C09"/>
    <w:rsid w:val="005F6B88"/>
    <w:rsid w:val="00610FC5"/>
    <w:rsid w:val="006110F2"/>
    <w:rsid w:val="0062294B"/>
    <w:rsid w:val="00634514"/>
    <w:rsid w:val="00645F5C"/>
    <w:rsid w:val="00656F69"/>
    <w:rsid w:val="00667DBC"/>
    <w:rsid w:val="00673BEC"/>
    <w:rsid w:val="00675079"/>
    <w:rsid w:val="00675E5B"/>
    <w:rsid w:val="006804EF"/>
    <w:rsid w:val="006832AC"/>
    <w:rsid w:val="006870F6"/>
    <w:rsid w:val="0069468F"/>
    <w:rsid w:val="006960D9"/>
    <w:rsid w:val="006A5A5E"/>
    <w:rsid w:val="006B7D5E"/>
    <w:rsid w:val="006C74CE"/>
    <w:rsid w:val="006D14E5"/>
    <w:rsid w:val="006E0B8B"/>
    <w:rsid w:val="006E23F4"/>
    <w:rsid w:val="006E5A32"/>
    <w:rsid w:val="006E75EF"/>
    <w:rsid w:val="006F16B4"/>
    <w:rsid w:val="006F22A8"/>
    <w:rsid w:val="006F29D9"/>
    <w:rsid w:val="006F50D5"/>
    <w:rsid w:val="00702D09"/>
    <w:rsid w:val="00712AC2"/>
    <w:rsid w:val="00742171"/>
    <w:rsid w:val="00743555"/>
    <w:rsid w:val="00750471"/>
    <w:rsid w:val="00750564"/>
    <w:rsid w:val="007551CD"/>
    <w:rsid w:val="0076031B"/>
    <w:rsid w:val="0076050A"/>
    <w:rsid w:val="00775C37"/>
    <w:rsid w:val="00781D90"/>
    <w:rsid w:val="00783D35"/>
    <w:rsid w:val="00795D2D"/>
    <w:rsid w:val="007A40DF"/>
    <w:rsid w:val="007A4AC4"/>
    <w:rsid w:val="007A57F8"/>
    <w:rsid w:val="007A7583"/>
    <w:rsid w:val="007B3821"/>
    <w:rsid w:val="007C3444"/>
    <w:rsid w:val="007C3C4C"/>
    <w:rsid w:val="007C743C"/>
    <w:rsid w:val="007D50C4"/>
    <w:rsid w:val="007F65F9"/>
    <w:rsid w:val="00815F6B"/>
    <w:rsid w:val="008261A2"/>
    <w:rsid w:val="0084023F"/>
    <w:rsid w:val="00840B7D"/>
    <w:rsid w:val="00841BED"/>
    <w:rsid w:val="008640C1"/>
    <w:rsid w:val="00881F65"/>
    <w:rsid w:val="00885E19"/>
    <w:rsid w:val="00887FE5"/>
    <w:rsid w:val="00896514"/>
    <w:rsid w:val="008A15F9"/>
    <w:rsid w:val="008A69A0"/>
    <w:rsid w:val="008C217C"/>
    <w:rsid w:val="008C334E"/>
    <w:rsid w:val="008D0210"/>
    <w:rsid w:val="008D05CF"/>
    <w:rsid w:val="008D5D1C"/>
    <w:rsid w:val="008E2A7D"/>
    <w:rsid w:val="008F0055"/>
    <w:rsid w:val="009254C6"/>
    <w:rsid w:val="00925FDE"/>
    <w:rsid w:val="009618E0"/>
    <w:rsid w:val="00965059"/>
    <w:rsid w:val="0097286C"/>
    <w:rsid w:val="0097379A"/>
    <w:rsid w:val="00973B27"/>
    <w:rsid w:val="009810ED"/>
    <w:rsid w:val="0098671C"/>
    <w:rsid w:val="0099745E"/>
    <w:rsid w:val="009A48F3"/>
    <w:rsid w:val="009B06C4"/>
    <w:rsid w:val="009B2D24"/>
    <w:rsid w:val="009B704D"/>
    <w:rsid w:val="009D0917"/>
    <w:rsid w:val="009D488B"/>
    <w:rsid w:val="009F4A17"/>
    <w:rsid w:val="00A0109B"/>
    <w:rsid w:val="00A076BC"/>
    <w:rsid w:val="00A122AE"/>
    <w:rsid w:val="00A24EF4"/>
    <w:rsid w:val="00A352EA"/>
    <w:rsid w:val="00A364F9"/>
    <w:rsid w:val="00A4605E"/>
    <w:rsid w:val="00A541EB"/>
    <w:rsid w:val="00A561A0"/>
    <w:rsid w:val="00A62156"/>
    <w:rsid w:val="00A71043"/>
    <w:rsid w:val="00A75C29"/>
    <w:rsid w:val="00A770A7"/>
    <w:rsid w:val="00A85C4B"/>
    <w:rsid w:val="00A86627"/>
    <w:rsid w:val="00A90917"/>
    <w:rsid w:val="00A910A0"/>
    <w:rsid w:val="00A9290C"/>
    <w:rsid w:val="00A96ACE"/>
    <w:rsid w:val="00AA5943"/>
    <w:rsid w:val="00AA76D5"/>
    <w:rsid w:val="00AC4061"/>
    <w:rsid w:val="00AC6E7B"/>
    <w:rsid w:val="00AD0D68"/>
    <w:rsid w:val="00AD3321"/>
    <w:rsid w:val="00AD6ECE"/>
    <w:rsid w:val="00AE12A2"/>
    <w:rsid w:val="00AE6D9D"/>
    <w:rsid w:val="00AF4BDF"/>
    <w:rsid w:val="00B010CB"/>
    <w:rsid w:val="00B13E47"/>
    <w:rsid w:val="00B14FA8"/>
    <w:rsid w:val="00B304B3"/>
    <w:rsid w:val="00B315CE"/>
    <w:rsid w:val="00B60447"/>
    <w:rsid w:val="00B6339A"/>
    <w:rsid w:val="00B820CB"/>
    <w:rsid w:val="00B832BE"/>
    <w:rsid w:val="00B9111B"/>
    <w:rsid w:val="00BB3092"/>
    <w:rsid w:val="00BB3BFD"/>
    <w:rsid w:val="00BC4ED8"/>
    <w:rsid w:val="00BD0F01"/>
    <w:rsid w:val="00BD28A0"/>
    <w:rsid w:val="00BE1D86"/>
    <w:rsid w:val="00BE7055"/>
    <w:rsid w:val="00BE76CF"/>
    <w:rsid w:val="00BE7B87"/>
    <w:rsid w:val="00C022FB"/>
    <w:rsid w:val="00C0437D"/>
    <w:rsid w:val="00C05F55"/>
    <w:rsid w:val="00C16638"/>
    <w:rsid w:val="00C22CF7"/>
    <w:rsid w:val="00C31669"/>
    <w:rsid w:val="00C40387"/>
    <w:rsid w:val="00C4256C"/>
    <w:rsid w:val="00C4318C"/>
    <w:rsid w:val="00C45211"/>
    <w:rsid w:val="00C60320"/>
    <w:rsid w:val="00C676A3"/>
    <w:rsid w:val="00C81967"/>
    <w:rsid w:val="00C81CD9"/>
    <w:rsid w:val="00C83FB3"/>
    <w:rsid w:val="00C86459"/>
    <w:rsid w:val="00CA67F3"/>
    <w:rsid w:val="00CF080B"/>
    <w:rsid w:val="00CF1E0C"/>
    <w:rsid w:val="00CF2751"/>
    <w:rsid w:val="00D220B3"/>
    <w:rsid w:val="00D41179"/>
    <w:rsid w:val="00D45B7F"/>
    <w:rsid w:val="00D46207"/>
    <w:rsid w:val="00D4774D"/>
    <w:rsid w:val="00D7002B"/>
    <w:rsid w:val="00D81FF6"/>
    <w:rsid w:val="00DB1E0D"/>
    <w:rsid w:val="00DC59EF"/>
    <w:rsid w:val="00DC5F53"/>
    <w:rsid w:val="00DD0893"/>
    <w:rsid w:val="00DD7F1F"/>
    <w:rsid w:val="00DE525C"/>
    <w:rsid w:val="00DF46DA"/>
    <w:rsid w:val="00DF61C0"/>
    <w:rsid w:val="00DF67E5"/>
    <w:rsid w:val="00E12EE7"/>
    <w:rsid w:val="00E2459E"/>
    <w:rsid w:val="00E25C5F"/>
    <w:rsid w:val="00E343FB"/>
    <w:rsid w:val="00E3458E"/>
    <w:rsid w:val="00E369D1"/>
    <w:rsid w:val="00E415F0"/>
    <w:rsid w:val="00E43720"/>
    <w:rsid w:val="00E60C17"/>
    <w:rsid w:val="00E628C7"/>
    <w:rsid w:val="00E644FE"/>
    <w:rsid w:val="00E64FF8"/>
    <w:rsid w:val="00E72EF7"/>
    <w:rsid w:val="00E73143"/>
    <w:rsid w:val="00E75B8D"/>
    <w:rsid w:val="00E76C21"/>
    <w:rsid w:val="00E82070"/>
    <w:rsid w:val="00EB2495"/>
    <w:rsid w:val="00EB48A5"/>
    <w:rsid w:val="00EC0E14"/>
    <w:rsid w:val="00EC12C7"/>
    <w:rsid w:val="00EC6329"/>
    <w:rsid w:val="00ED0421"/>
    <w:rsid w:val="00ED29F8"/>
    <w:rsid w:val="00ED4986"/>
    <w:rsid w:val="00EE2BE0"/>
    <w:rsid w:val="00EE6E36"/>
    <w:rsid w:val="00F10556"/>
    <w:rsid w:val="00F11D64"/>
    <w:rsid w:val="00F12E8B"/>
    <w:rsid w:val="00F20C4D"/>
    <w:rsid w:val="00F35EFB"/>
    <w:rsid w:val="00F363F0"/>
    <w:rsid w:val="00F51979"/>
    <w:rsid w:val="00F92910"/>
    <w:rsid w:val="00F95918"/>
    <w:rsid w:val="00F97C5D"/>
    <w:rsid w:val="00FA222C"/>
    <w:rsid w:val="00FA4395"/>
    <w:rsid w:val="00FA794A"/>
    <w:rsid w:val="00FB1C0E"/>
    <w:rsid w:val="00FC03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65BB8C6-6FFE-4223-BB9E-267A4B05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9"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B704D"/>
    <w:pPr>
      <w:spacing w:after="200" w:line="276" w:lineRule="auto"/>
    </w:pPr>
    <w:rPr>
      <w:sz w:val="22"/>
      <w:szCs w:val="22"/>
      <w:lang w:eastAsia="en-US"/>
    </w:rPr>
  </w:style>
  <w:style w:type="paragraph" w:styleId="Rubrik1">
    <w:name w:val="heading 1"/>
    <w:basedOn w:val="Normal"/>
    <w:next w:val="Brdtext"/>
    <w:link w:val="Rubrik1Char"/>
    <w:uiPriority w:val="1"/>
    <w:qFormat/>
    <w:rsid w:val="004931BF"/>
    <w:pPr>
      <w:keepNext/>
      <w:keepLines/>
      <w:pBdr>
        <w:bottom w:val="single" w:sz="4" w:space="1" w:color="auto"/>
      </w:pBdr>
      <w:spacing w:before="480" w:after="0" w:line="260" w:lineRule="atLeast"/>
      <w:outlineLvl w:val="0"/>
    </w:pPr>
    <w:rPr>
      <w:rFonts w:eastAsia="Times New Roman"/>
      <w:b/>
      <w:bCs/>
      <w:caps/>
      <w:szCs w:val="28"/>
    </w:rPr>
  </w:style>
  <w:style w:type="paragraph" w:styleId="Rubrik2">
    <w:name w:val="heading 2"/>
    <w:basedOn w:val="Normal"/>
    <w:next w:val="Brdtext"/>
    <w:link w:val="Rubrik2Char"/>
    <w:uiPriority w:val="1"/>
    <w:qFormat/>
    <w:rsid w:val="00A90917"/>
    <w:pPr>
      <w:keepNext/>
      <w:keepLines/>
      <w:spacing w:before="200" w:after="0" w:line="260" w:lineRule="atLeast"/>
      <w:outlineLvl w:val="1"/>
    </w:pPr>
    <w:rPr>
      <w:rFonts w:eastAsia="Times New Roman"/>
      <w:b/>
      <w:bCs/>
      <w:szCs w:val="26"/>
    </w:rPr>
  </w:style>
  <w:style w:type="paragraph" w:styleId="Rubrik3">
    <w:name w:val="heading 3"/>
    <w:basedOn w:val="Normal"/>
    <w:next w:val="Brdtext"/>
    <w:link w:val="Rubrik3Char"/>
    <w:uiPriority w:val="1"/>
    <w:qFormat/>
    <w:rsid w:val="00C22CF7"/>
    <w:pPr>
      <w:keepNext/>
      <w:keepLines/>
      <w:spacing w:before="200" w:after="0" w:line="260" w:lineRule="atLeast"/>
      <w:outlineLvl w:val="2"/>
    </w:pPr>
    <w:rPr>
      <w:rFonts w:eastAsia="Times New Roman"/>
      <w:b/>
      <w:bCs/>
      <w:i/>
    </w:rPr>
  </w:style>
  <w:style w:type="paragraph" w:styleId="Rubrik4">
    <w:name w:val="heading 4"/>
    <w:basedOn w:val="Normal"/>
    <w:next w:val="Brdtext"/>
    <w:link w:val="Rubrik4Char"/>
    <w:uiPriority w:val="1"/>
    <w:qFormat/>
    <w:rsid w:val="00C22CF7"/>
    <w:pPr>
      <w:keepNext/>
      <w:keepLines/>
      <w:spacing w:before="200" w:after="0" w:line="260" w:lineRule="atLeast"/>
      <w:outlineLvl w:val="3"/>
    </w:pPr>
    <w:rPr>
      <w:rFonts w:eastAsia="Times New Roman"/>
      <w:bCs/>
      <w:i/>
      <w:iCs/>
    </w:rPr>
  </w:style>
  <w:style w:type="paragraph" w:styleId="Rubrik5">
    <w:name w:val="heading 5"/>
    <w:basedOn w:val="Normal"/>
    <w:next w:val="Normal"/>
    <w:link w:val="Rubrik5Char"/>
    <w:uiPriority w:val="9"/>
    <w:semiHidden/>
    <w:rsid w:val="003765E8"/>
    <w:pPr>
      <w:keepNext/>
      <w:keepLines/>
      <w:spacing w:before="200" w:after="0" w:line="240" w:lineRule="auto"/>
      <w:outlineLvl w:val="4"/>
    </w:pPr>
    <w:rPr>
      <w:rFonts w:ascii="Cambria" w:eastAsia="Times New Roman" w:hAnsi="Cambr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A561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B60447"/>
  </w:style>
  <w:style w:type="paragraph" w:styleId="Sidfot">
    <w:name w:val="footer"/>
    <w:basedOn w:val="Normal"/>
    <w:link w:val="SidfotChar"/>
    <w:uiPriority w:val="99"/>
    <w:semiHidden/>
    <w:rsid w:val="00F97C5D"/>
    <w:pPr>
      <w:tabs>
        <w:tab w:val="center" w:pos="4536"/>
        <w:tab w:val="right" w:pos="9072"/>
      </w:tabs>
      <w:spacing w:after="0" w:line="240" w:lineRule="auto"/>
    </w:pPr>
    <w:rPr>
      <w:sz w:val="16"/>
    </w:rPr>
  </w:style>
  <w:style w:type="character" w:customStyle="1" w:styleId="SidfotChar">
    <w:name w:val="Sidfot Char"/>
    <w:link w:val="Sidfot"/>
    <w:uiPriority w:val="99"/>
    <w:semiHidden/>
    <w:rsid w:val="00F97C5D"/>
    <w:rPr>
      <w:sz w:val="16"/>
    </w:rPr>
  </w:style>
  <w:style w:type="paragraph" w:customStyle="1" w:styleId="Fyrkantslista">
    <w:name w:val="Fyrkantslista"/>
    <w:basedOn w:val="Brdtext"/>
    <w:rsid w:val="007F65F9"/>
    <w:pPr>
      <w:numPr>
        <w:numId w:val="5"/>
      </w:numPr>
    </w:pPr>
  </w:style>
  <w:style w:type="paragraph" w:customStyle="1" w:styleId="Dokumentyp">
    <w:name w:val="Dokumentyp"/>
    <w:basedOn w:val="Sidhuvud"/>
    <w:semiHidden/>
    <w:qFormat/>
    <w:rsid w:val="009D0917"/>
    <w:pPr>
      <w:spacing w:before="120"/>
    </w:pPr>
    <w:rPr>
      <w:b/>
      <w:caps/>
    </w:rPr>
  </w:style>
  <w:style w:type="paragraph" w:customStyle="1" w:styleId="Ledtext">
    <w:name w:val="Ledtext"/>
    <w:basedOn w:val="Sidhuvud"/>
    <w:semiHidden/>
    <w:qFormat/>
    <w:rsid w:val="00F97C5D"/>
    <w:rPr>
      <w:sz w:val="12"/>
    </w:rPr>
  </w:style>
  <w:style w:type="character" w:customStyle="1" w:styleId="Rubrik1Char">
    <w:name w:val="Rubrik 1 Char"/>
    <w:link w:val="Rubrik1"/>
    <w:uiPriority w:val="1"/>
    <w:rsid w:val="004931BF"/>
    <w:rPr>
      <w:rFonts w:eastAsia="Times New Roman"/>
      <w:b/>
      <w:bCs/>
      <w:caps/>
      <w:sz w:val="22"/>
      <w:szCs w:val="28"/>
      <w:lang w:eastAsia="en-US"/>
    </w:rPr>
  </w:style>
  <w:style w:type="paragraph" w:customStyle="1" w:styleId="Titelfrsttsida">
    <w:name w:val="Titel_försättsida"/>
    <w:basedOn w:val="Normal"/>
    <w:semiHidden/>
    <w:qFormat/>
    <w:rsid w:val="008E2A7D"/>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4A4DC1"/>
    <w:pPr>
      <w:ind w:left="-1985"/>
      <w:jc w:val="center"/>
    </w:pPr>
    <w:rPr>
      <w:caps/>
      <w:sz w:val="32"/>
    </w:rPr>
  </w:style>
  <w:style w:type="paragraph" w:styleId="Innehll1">
    <w:name w:val="toc 1"/>
    <w:basedOn w:val="Normal"/>
    <w:next w:val="Normal"/>
    <w:uiPriority w:val="39"/>
    <w:semiHidden/>
    <w:rsid w:val="00216B21"/>
    <w:pPr>
      <w:tabs>
        <w:tab w:val="right" w:leader="dot" w:pos="7643"/>
      </w:tabs>
      <w:spacing w:before="40" w:after="0" w:line="240" w:lineRule="auto"/>
      <w:ind w:left="624" w:right="284" w:hanging="624"/>
    </w:pPr>
    <w:rPr>
      <w:b/>
    </w:rPr>
  </w:style>
  <w:style w:type="character" w:styleId="Hyperlnk">
    <w:name w:val="Hyperlink"/>
    <w:uiPriority w:val="99"/>
    <w:semiHidden/>
    <w:rsid w:val="00FA4395"/>
    <w:rPr>
      <w:color w:val="0000FF"/>
      <w:u w:val="single"/>
    </w:rPr>
  </w:style>
  <w:style w:type="paragraph" w:customStyle="1" w:styleId="Titel">
    <w:name w:val="Titel"/>
    <w:basedOn w:val="Normal"/>
    <w:next w:val="Brdtext"/>
    <w:semiHidden/>
    <w:qFormat/>
    <w:rsid w:val="004931BF"/>
    <w:pPr>
      <w:spacing w:before="120"/>
    </w:pPr>
    <w:rPr>
      <w:b/>
      <w:sz w:val="32"/>
    </w:rPr>
  </w:style>
  <w:style w:type="paragraph" w:customStyle="1" w:styleId="Orubrik">
    <w:name w:val="Orubrik"/>
    <w:basedOn w:val="Brdtext"/>
    <w:next w:val="Brdtext"/>
    <w:semiHidden/>
    <w:qFormat/>
    <w:rsid w:val="0015336F"/>
    <w:pPr>
      <w:pBdr>
        <w:bottom w:val="single" w:sz="4" w:space="1" w:color="auto"/>
      </w:pBdr>
      <w:ind w:left="-1985"/>
    </w:pPr>
    <w:rPr>
      <w:b/>
      <w:caps/>
    </w:rPr>
  </w:style>
  <w:style w:type="paragraph" w:styleId="Brdtext">
    <w:name w:val="Body Text"/>
    <w:basedOn w:val="Normal"/>
    <w:link w:val="BrdtextChar"/>
    <w:qFormat/>
    <w:rsid w:val="000F7DCC"/>
    <w:pPr>
      <w:spacing w:after="120" w:line="280" w:lineRule="atLeast"/>
    </w:pPr>
  </w:style>
  <w:style w:type="character" w:customStyle="1" w:styleId="BrdtextChar">
    <w:name w:val="Brödtext Char"/>
    <w:basedOn w:val="Standardstycketeckensnitt"/>
    <w:link w:val="Brdtext"/>
    <w:rsid w:val="006110F2"/>
  </w:style>
  <w:style w:type="character" w:customStyle="1" w:styleId="Rubrik2Char">
    <w:name w:val="Rubrik 2 Char"/>
    <w:link w:val="Rubrik2"/>
    <w:uiPriority w:val="1"/>
    <w:rsid w:val="006110F2"/>
    <w:rPr>
      <w:rFonts w:ascii="Calibri" w:eastAsia="Times New Roman" w:hAnsi="Calibri" w:cs="Times New Roman"/>
      <w:b/>
      <w:bCs/>
      <w:szCs w:val="26"/>
    </w:rPr>
  </w:style>
  <w:style w:type="character" w:customStyle="1" w:styleId="Rubrik3Char">
    <w:name w:val="Rubrik 3 Char"/>
    <w:link w:val="Rubrik3"/>
    <w:uiPriority w:val="1"/>
    <w:rsid w:val="00C22CF7"/>
    <w:rPr>
      <w:rFonts w:ascii="Calibri" w:eastAsia="Times New Roman" w:hAnsi="Calibri" w:cs="Times New Roman"/>
      <w:b/>
      <w:bCs/>
      <w:i/>
    </w:rPr>
  </w:style>
  <w:style w:type="character" w:customStyle="1" w:styleId="Rubrik4Char">
    <w:name w:val="Rubrik 4 Char"/>
    <w:link w:val="Rubrik4"/>
    <w:uiPriority w:val="1"/>
    <w:rsid w:val="00C22CF7"/>
    <w:rPr>
      <w:rFonts w:ascii="Calibri" w:eastAsia="Times New Roman" w:hAnsi="Calibri" w:cs="Times New Roman"/>
      <w:bCs/>
      <w:i/>
      <w:iCs/>
    </w:rPr>
  </w:style>
  <w:style w:type="paragraph" w:styleId="Innehll2">
    <w:name w:val="toc 2"/>
    <w:basedOn w:val="Normal"/>
    <w:next w:val="Normal"/>
    <w:uiPriority w:val="39"/>
    <w:semiHidden/>
    <w:rsid w:val="00216B21"/>
    <w:pPr>
      <w:tabs>
        <w:tab w:val="right" w:leader="dot" w:pos="7643"/>
      </w:tabs>
      <w:spacing w:before="40" w:after="0" w:line="240" w:lineRule="auto"/>
      <w:ind w:left="624" w:right="284" w:hanging="624"/>
    </w:pPr>
  </w:style>
  <w:style w:type="paragraph" w:customStyle="1" w:styleId="Sidfotsid1">
    <w:name w:val="Sidfot sid 1"/>
    <w:basedOn w:val="Sidfot"/>
    <w:semiHidden/>
    <w:qFormat/>
    <w:rsid w:val="008E2A7D"/>
    <w:pPr>
      <w:pBdr>
        <w:top w:val="single" w:sz="4" w:space="6" w:color="808080"/>
      </w:pBdr>
      <w:ind w:left="-1985"/>
      <w:jc w:val="center"/>
    </w:pPr>
    <w:rPr>
      <w:color w:val="808080"/>
    </w:rPr>
  </w:style>
  <w:style w:type="character" w:customStyle="1" w:styleId="Rubrik5Char">
    <w:name w:val="Rubrik 5 Char"/>
    <w:link w:val="Rubrik5"/>
    <w:uiPriority w:val="9"/>
    <w:semiHidden/>
    <w:rsid w:val="008640C1"/>
    <w:rPr>
      <w:rFonts w:ascii="Cambria" w:eastAsia="Times New Roman" w:hAnsi="Cambria"/>
      <w:sz w:val="22"/>
      <w:szCs w:val="22"/>
      <w:lang w:eastAsia="en-US"/>
    </w:rPr>
  </w:style>
  <w:style w:type="paragraph" w:styleId="Liststycke">
    <w:name w:val="List Paragraph"/>
    <w:basedOn w:val="Normal"/>
    <w:uiPriority w:val="34"/>
    <w:qFormat/>
    <w:rsid w:val="00656F69"/>
    <w:pPr>
      <w:ind w:left="720"/>
      <w:contextualSpacing/>
    </w:pPr>
  </w:style>
  <w:style w:type="paragraph" w:customStyle="1" w:styleId="Tabelltext">
    <w:name w:val="Tabelltext"/>
    <w:basedOn w:val="Normal"/>
    <w:uiPriority w:val="2"/>
    <w:qFormat/>
    <w:rsid w:val="00076E1B"/>
    <w:pPr>
      <w:spacing w:after="0" w:line="240" w:lineRule="auto"/>
    </w:pPr>
  </w:style>
  <w:style w:type="table" w:customStyle="1" w:styleId="LTV-tabell">
    <w:name w:val="LTV-tabell"/>
    <w:basedOn w:val="Normaltabell"/>
    <w:uiPriority w:val="99"/>
    <w:rsid w:val="00ED0421"/>
    <w:pPr>
      <w:spacing w:before="80" w:after="40"/>
    </w:pPr>
    <w:rPr>
      <w:rFonts w:eastAsia="Times New Roman"/>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Beskrivning">
    <w:name w:val="caption"/>
    <w:basedOn w:val="Normal"/>
    <w:next w:val="Normal"/>
    <w:uiPriority w:val="35"/>
    <w:semiHidden/>
    <w:rsid w:val="006110F2"/>
    <w:pPr>
      <w:spacing w:before="120" w:after="120" w:line="240" w:lineRule="auto"/>
    </w:pPr>
    <w:rPr>
      <w:b/>
      <w:bCs/>
      <w:szCs w:val="18"/>
    </w:rPr>
  </w:style>
  <w:style w:type="paragraph" w:styleId="Numreradlista">
    <w:name w:val="List Number"/>
    <w:basedOn w:val="Normal"/>
    <w:qFormat/>
    <w:rsid w:val="005B5C8D"/>
    <w:pPr>
      <w:numPr>
        <w:numId w:val="2"/>
      </w:numPr>
      <w:spacing w:after="120" w:line="280" w:lineRule="atLeast"/>
      <w:ind w:left="357" w:hanging="357"/>
      <w:contextualSpacing/>
    </w:pPr>
  </w:style>
  <w:style w:type="paragraph" w:styleId="Punktlista">
    <w:name w:val="List Bullet"/>
    <w:basedOn w:val="Normal"/>
    <w:qFormat/>
    <w:rsid w:val="005B5C8D"/>
    <w:pPr>
      <w:numPr>
        <w:numId w:val="3"/>
      </w:numPr>
      <w:spacing w:after="120" w:line="280" w:lineRule="atLeast"/>
      <w:ind w:left="357" w:hanging="357"/>
      <w:contextualSpacing/>
    </w:pPr>
  </w:style>
  <w:style w:type="paragraph" w:customStyle="1" w:styleId="Hjlptext">
    <w:name w:val="Hjälptext"/>
    <w:basedOn w:val="Brdtext"/>
    <w:next w:val="Brdtext"/>
    <w:semiHidden/>
    <w:qFormat/>
    <w:rsid w:val="00011B7B"/>
    <w:rPr>
      <w:i/>
      <w:vanish/>
      <w:color w:val="0070C0"/>
    </w:rPr>
  </w:style>
  <w:style w:type="paragraph" w:styleId="Innehll3">
    <w:name w:val="toc 3"/>
    <w:basedOn w:val="Normal"/>
    <w:next w:val="Normal"/>
    <w:uiPriority w:val="39"/>
    <w:semiHidden/>
    <w:rsid w:val="00216B21"/>
    <w:pPr>
      <w:tabs>
        <w:tab w:val="right" w:leader="dot" w:pos="7643"/>
      </w:tabs>
      <w:spacing w:before="40" w:after="0" w:line="240" w:lineRule="auto"/>
      <w:ind w:left="624" w:hanging="624"/>
    </w:pPr>
  </w:style>
  <w:style w:type="paragraph" w:styleId="Ballongtext">
    <w:name w:val="Balloon Text"/>
    <w:basedOn w:val="Normal"/>
    <w:link w:val="BallongtextChar"/>
    <w:uiPriority w:val="99"/>
    <w:semiHidden/>
    <w:unhideWhenUsed/>
    <w:rsid w:val="003E5FA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3E5FA2"/>
    <w:rPr>
      <w:rFonts w:ascii="Tahoma" w:hAnsi="Tahoma" w:cs="Tahoma"/>
      <w:sz w:val="16"/>
      <w:szCs w:val="16"/>
    </w:rPr>
  </w:style>
  <w:style w:type="table" w:customStyle="1" w:styleId="LTV-tabellBl">
    <w:name w:val="LTV-tabell Blå"/>
    <w:basedOn w:val="Normaltabell"/>
    <w:uiPriority w:val="99"/>
    <w:rsid w:val="00ED0421"/>
    <w:pPr>
      <w:spacing w:before="80" w:after="40"/>
    </w:pPr>
    <w:rPr>
      <w:rFonts w:eastAsia="Times New Roman"/>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D0421"/>
    <w:pPr>
      <w:spacing w:before="80" w:after="40"/>
    </w:pPr>
    <w:rPr>
      <w:rFonts w:eastAsia="Times New Roman"/>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D0421"/>
    <w:pPr>
      <w:spacing w:before="80" w:after="40"/>
    </w:pPr>
    <w:rPr>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table" w:styleId="Tabellrutnt">
    <w:name w:val="Table Grid"/>
    <w:basedOn w:val="Normaltabell"/>
    <w:uiPriority w:val="59"/>
    <w:rsid w:val="003F0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ettext">
    <w:name w:val="Blankettext"/>
    <w:basedOn w:val="Brdtext"/>
    <w:semiHidden/>
    <w:qFormat/>
    <w:rsid w:val="00FA794A"/>
    <w:pPr>
      <w:spacing w:after="40"/>
    </w:pPr>
    <w:rPr>
      <w:rFonts w:ascii="Times New Roman" w:eastAsia="Times New Roman" w:hAnsi="Times New Roman"/>
      <w:sz w:val="24"/>
    </w:rPr>
  </w:style>
  <w:style w:type="paragraph" w:customStyle="1" w:styleId="Brdtextutdragen">
    <w:name w:val="Brödtext utdragen"/>
    <w:basedOn w:val="Brdtext"/>
    <w:qFormat/>
    <w:rsid w:val="00CF1E0C"/>
    <w:pPr>
      <w:ind w:left="-1985"/>
    </w:pPr>
  </w:style>
  <w:style w:type="paragraph" w:styleId="Fotnotstext">
    <w:name w:val="footnote text"/>
    <w:basedOn w:val="Normal"/>
    <w:link w:val="FotnotstextChar"/>
    <w:uiPriority w:val="99"/>
    <w:unhideWhenUsed/>
    <w:rsid w:val="00973B27"/>
    <w:rPr>
      <w:sz w:val="20"/>
      <w:szCs w:val="20"/>
    </w:rPr>
  </w:style>
  <w:style w:type="character" w:customStyle="1" w:styleId="FotnotstextChar">
    <w:name w:val="Fotnotstext Char"/>
    <w:basedOn w:val="Standardstycketeckensnitt"/>
    <w:link w:val="Fotnotstext"/>
    <w:uiPriority w:val="99"/>
    <w:rsid w:val="00973B27"/>
    <w:rPr>
      <w:lang w:eastAsia="en-US"/>
    </w:rPr>
  </w:style>
  <w:style w:type="character" w:styleId="Fotnotsreferens">
    <w:name w:val="footnote reference"/>
    <w:uiPriority w:val="99"/>
    <w:unhideWhenUsed/>
    <w:rsid w:val="00973B27"/>
    <w:rPr>
      <w:vertAlign w:val="superscript"/>
    </w:rPr>
  </w:style>
  <w:style w:type="paragraph" w:styleId="Normalwebb">
    <w:name w:val="Normal (Web)"/>
    <w:basedOn w:val="Normal"/>
    <w:uiPriority w:val="99"/>
    <w:rsid w:val="00887FE5"/>
    <w:pPr>
      <w:spacing w:before="100" w:beforeAutospacing="1" w:after="100" w:afterAutospacing="1" w:line="240" w:lineRule="auto"/>
    </w:pPr>
    <w:rPr>
      <w:rFonts w:ascii="Times New Roman" w:eastAsia="Times New Roman" w:hAnsi="Times New Roman"/>
      <w:sz w:val="24"/>
      <w:szCs w:val="24"/>
      <w:lang w:eastAsia="sv-SE"/>
    </w:rPr>
  </w:style>
  <w:style w:type="paragraph" w:customStyle="1" w:styleId="Allmntstyckeformat">
    <w:name w:val="[Allmänt styckeformat]"/>
    <w:basedOn w:val="Normal"/>
    <w:rsid w:val="00E82070"/>
    <w:pPr>
      <w:autoSpaceDE w:val="0"/>
      <w:autoSpaceDN w:val="0"/>
      <w:adjustRightInd w:val="0"/>
      <w:spacing w:line="288" w:lineRule="auto"/>
    </w:pPr>
    <w:rPr>
      <w:rFonts w:eastAsia="Times New Roman"/>
      <w:i/>
      <w:iCs/>
      <w:color w:val="000000"/>
      <w:sz w:val="20"/>
      <w:szCs w:val="20"/>
      <w:lang w:eastAsia="sv-SE"/>
    </w:rPr>
  </w:style>
  <w:style w:type="character" w:styleId="Kommentarsreferens">
    <w:name w:val="annotation reference"/>
    <w:basedOn w:val="Standardstycketeckensnitt"/>
    <w:uiPriority w:val="99"/>
    <w:semiHidden/>
    <w:unhideWhenUsed/>
    <w:rsid w:val="0004459B"/>
    <w:rPr>
      <w:sz w:val="16"/>
      <w:szCs w:val="16"/>
    </w:rPr>
  </w:style>
  <w:style w:type="paragraph" w:styleId="Kommentarer">
    <w:name w:val="annotation text"/>
    <w:basedOn w:val="Normal"/>
    <w:link w:val="KommentarerChar"/>
    <w:uiPriority w:val="99"/>
    <w:semiHidden/>
    <w:unhideWhenUsed/>
    <w:rsid w:val="0004459B"/>
    <w:pPr>
      <w:spacing w:line="240" w:lineRule="auto"/>
    </w:pPr>
    <w:rPr>
      <w:sz w:val="20"/>
      <w:szCs w:val="20"/>
    </w:rPr>
  </w:style>
  <w:style w:type="character" w:customStyle="1" w:styleId="KommentarerChar">
    <w:name w:val="Kommentarer Char"/>
    <w:basedOn w:val="Standardstycketeckensnitt"/>
    <w:link w:val="Kommentarer"/>
    <w:uiPriority w:val="99"/>
    <w:semiHidden/>
    <w:rsid w:val="0004459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0516">
      <w:bodyDiv w:val="1"/>
      <w:marLeft w:val="0"/>
      <w:marRight w:val="0"/>
      <w:marTop w:val="0"/>
      <w:marBottom w:val="0"/>
      <w:divBdr>
        <w:top w:val="none" w:sz="0" w:space="0" w:color="auto"/>
        <w:left w:val="none" w:sz="0" w:space="0" w:color="auto"/>
        <w:bottom w:val="none" w:sz="0" w:space="0" w:color="auto"/>
        <w:right w:val="none" w:sz="0" w:space="0" w:color="auto"/>
      </w:divBdr>
      <w:divsChild>
        <w:div w:id="1833568287">
          <w:marLeft w:val="0"/>
          <w:marRight w:val="0"/>
          <w:marTop w:val="0"/>
          <w:marBottom w:val="0"/>
          <w:divBdr>
            <w:top w:val="none" w:sz="0" w:space="0" w:color="auto"/>
            <w:left w:val="none" w:sz="0" w:space="0" w:color="auto"/>
            <w:bottom w:val="none" w:sz="0" w:space="0" w:color="auto"/>
            <w:right w:val="none" w:sz="0" w:space="0" w:color="auto"/>
          </w:divBdr>
          <w:divsChild>
            <w:div w:id="871454492">
              <w:marLeft w:val="0"/>
              <w:marRight w:val="0"/>
              <w:marTop w:val="0"/>
              <w:marBottom w:val="0"/>
              <w:divBdr>
                <w:top w:val="none" w:sz="0" w:space="0" w:color="auto"/>
                <w:left w:val="none" w:sz="0" w:space="0" w:color="auto"/>
                <w:bottom w:val="none" w:sz="0" w:space="0" w:color="auto"/>
                <w:right w:val="none" w:sz="0" w:space="0" w:color="auto"/>
              </w:divBdr>
              <w:divsChild>
                <w:div w:id="838541142">
                  <w:marLeft w:val="0"/>
                  <w:marRight w:val="0"/>
                  <w:marTop w:val="0"/>
                  <w:marBottom w:val="0"/>
                  <w:divBdr>
                    <w:top w:val="none" w:sz="0" w:space="0" w:color="auto"/>
                    <w:left w:val="none" w:sz="0" w:space="0" w:color="auto"/>
                    <w:bottom w:val="none" w:sz="0" w:space="0" w:color="auto"/>
                    <w:right w:val="none" w:sz="0" w:space="0" w:color="auto"/>
                  </w:divBdr>
                  <w:divsChild>
                    <w:div w:id="2062974285">
                      <w:marLeft w:val="0"/>
                      <w:marRight w:val="0"/>
                      <w:marTop w:val="0"/>
                      <w:marBottom w:val="0"/>
                      <w:divBdr>
                        <w:top w:val="none" w:sz="0" w:space="0" w:color="auto"/>
                        <w:left w:val="none" w:sz="0" w:space="0" w:color="auto"/>
                        <w:bottom w:val="none" w:sz="0" w:space="0" w:color="auto"/>
                        <w:right w:val="none" w:sz="0" w:space="0" w:color="auto"/>
                      </w:divBdr>
                      <w:divsChild>
                        <w:div w:id="2002419030">
                          <w:marLeft w:val="0"/>
                          <w:marRight w:val="0"/>
                          <w:marTop w:val="0"/>
                          <w:marBottom w:val="0"/>
                          <w:divBdr>
                            <w:top w:val="none" w:sz="0" w:space="0" w:color="auto"/>
                            <w:left w:val="none" w:sz="0" w:space="0" w:color="auto"/>
                            <w:bottom w:val="none" w:sz="0" w:space="0" w:color="auto"/>
                            <w:right w:val="none" w:sz="0" w:space="0" w:color="auto"/>
                          </w:divBdr>
                          <w:divsChild>
                            <w:div w:id="171650354">
                              <w:marLeft w:val="0"/>
                              <w:marRight w:val="0"/>
                              <w:marTop w:val="0"/>
                              <w:marBottom w:val="0"/>
                              <w:divBdr>
                                <w:top w:val="none" w:sz="0" w:space="0" w:color="auto"/>
                                <w:left w:val="none" w:sz="0" w:space="0" w:color="auto"/>
                                <w:bottom w:val="none" w:sz="0" w:space="0" w:color="auto"/>
                                <w:right w:val="none" w:sz="0" w:space="0" w:color="auto"/>
                              </w:divBdr>
                              <w:divsChild>
                                <w:div w:id="2058241873">
                                  <w:marLeft w:val="0"/>
                                  <w:marRight w:val="0"/>
                                  <w:marTop w:val="0"/>
                                  <w:marBottom w:val="0"/>
                                  <w:divBdr>
                                    <w:top w:val="none" w:sz="0" w:space="0" w:color="auto"/>
                                    <w:left w:val="none" w:sz="0" w:space="0" w:color="auto"/>
                                    <w:bottom w:val="none" w:sz="0" w:space="0" w:color="auto"/>
                                    <w:right w:val="none" w:sz="0" w:space="0" w:color="auto"/>
                                  </w:divBdr>
                                  <w:divsChild>
                                    <w:div w:id="17594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873925">
      <w:bodyDiv w:val="1"/>
      <w:marLeft w:val="0"/>
      <w:marRight w:val="0"/>
      <w:marTop w:val="0"/>
      <w:marBottom w:val="0"/>
      <w:divBdr>
        <w:top w:val="none" w:sz="0" w:space="0" w:color="auto"/>
        <w:left w:val="none" w:sz="0" w:space="0" w:color="auto"/>
        <w:bottom w:val="none" w:sz="0" w:space="0" w:color="auto"/>
        <w:right w:val="none" w:sz="0" w:space="0" w:color="auto"/>
      </w:divBdr>
    </w:div>
    <w:div w:id="16842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g67\AppData\Local\Temp\~cc119A.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F0A65-0698-486A-AB9B-FC2B33D6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~cc119A.tmp</Template>
  <TotalTime>0</TotalTime>
  <Pages>17</Pages>
  <Words>3651</Words>
  <Characters>22750</Characters>
  <Application>Microsoft Office Word</Application>
  <DocSecurity>4</DocSecurity>
  <Lines>842</Lines>
  <Paragraphs>643</Paragraphs>
  <ScaleCrop>false</ScaleCrop>
  <HeadingPairs>
    <vt:vector size="2" baseType="variant">
      <vt:variant>
        <vt:lpstr>Rubrik</vt:lpstr>
      </vt:variant>
      <vt:variant>
        <vt:i4>1</vt:i4>
      </vt:variant>
    </vt:vector>
  </HeadingPairs>
  <TitlesOfParts>
    <vt:vector size="1" baseType="lpstr">
      <vt:lpstr>Årsredovisning 2017 - Förvaltningstotal Hjälpmedelscentrum</vt:lpstr>
    </vt:vector>
  </TitlesOfParts>
  <Company>LTV</Company>
  <LinksUpToDate>false</LinksUpToDate>
  <CharactersWithSpaces>25758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Årsredovisning 2017 - Förvaltningstotal Hjälpmedelscentrum</dc:title>
  <dc:creator>Joakim Axelsson</dc:creator>
  <cp:lastModifiedBy>Lotta Rajahalme</cp:lastModifiedBy>
  <cp:revision>2</cp:revision>
  <cp:lastPrinted>2018-01-15T08:42:00Z</cp:lastPrinted>
  <dcterms:created xsi:type="dcterms:W3CDTF">2018-02-23T09:22:00Z</dcterms:created>
  <dcterms:modified xsi:type="dcterms:W3CDTF">2018-02-23T09:22:00Z</dcterms:modified>
  <cp:category>Rapport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By">
    <vt:lpwstr/>
  </property>
  <property fmtid="{D5CDD505-2E9C-101B-9397-08002B2CF9AE}" pid="3" name="ApprovedByOU">
    <vt:lpwstr/>
  </property>
  <property fmtid="{D5CDD505-2E9C-101B-9397-08002B2CF9AE}" pid="4" name="ApprovedByPositionCode">
    <vt:lpwstr/>
  </property>
  <property fmtid="{D5CDD505-2E9C-101B-9397-08002B2CF9AE}" pid="5" name="ApprovedByTitle">
    <vt:lpwstr/>
  </property>
  <property fmtid="{D5CDD505-2E9C-101B-9397-08002B2CF9AE}" pid="6" name="CCategory">
    <vt:lpwstr>Rapport</vt:lpwstr>
  </property>
  <property fmtid="{D5CDD505-2E9C-101B-9397-08002B2CF9AE}" pid="7" name="CTitle">
    <vt:lpwstr>Årsredovisning 2017 - Förvaltningstotal Hjälpmedelscentrum</vt:lpwstr>
  </property>
  <property fmtid="{D5CDD505-2E9C-101B-9397-08002B2CF9AE}" pid="8" name="DocumentNo">
    <vt:lpwstr>40578-1</vt:lpwstr>
  </property>
  <property fmtid="{D5CDD505-2E9C-101B-9397-08002B2CF9AE}" pid="9" name="EstablishedBy">
    <vt:lpwstr>Joakim Axelsson</vt:lpwstr>
  </property>
  <property fmtid="{D5CDD505-2E9C-101B-9397-08002B2CF9AE}" pid="10" name="EstablishedByOU">
    <vt:lpwstr>Hjälpmedelscentrum</vt:lpwstr>
  </property>
  <property fmtid="{D5CDD505-2E9C-101B-9397-08002B2CF9AE}" pid="11" name="EstablishedByPositionCode">
    <vt:lpwstr>Hjälpmedelscentrum</vt:lpwstr>
  </property>
  <property fmtid="{D5CDD505-2E9C-101B-9397-08002B2CF9AE}" pid="12" name="EstablishedByTitle">
    <vt:lpwstr>IT-samordnare</vt:lpwstr>
  </property>
  <property fmtid="{D5CDD505-2E9C-101B-9397-08002B2CF9AE}" pid="13" name="Folder">
    <vt:lpwstr>Systemmapp</vt:lpwstr>
  </property>
  <property fmtid="{D5CDD505-2E9C-101B-9397-08002B2CF9AE}" pid="14" name="Issue">
    <vt:lpwstr>1</vt:lpwstr>
  </property>
  <property fmtid="{D5CDD505-2E9C-101B-9397-08002B2CF9AE}" pid="15" name="Owner">
    <vt:lpwstr>Joakim Axelsson</vt:lpwstr>
  </property>
  <property fmtid="{D5CDD505-2E9C-101B-9397-08002B2CF9AE}" pid="16" name="OwnerOU">
    <vt:lpwstr>Hjälpmedelscentrum</vt:lpwstr>
  </property>
  <property fmtid="{D5CDD505-2E9C-101B-9397-08002B2CF9AE}" pid="17" name="OwnerTitle">
    <vt:lpwstr>IT-samordnare</vt:lpwstr>
  </property>
  <property fmtid="{D5CDD505-2E9C-101B-9397-08002B2CF9AE}" pid="18" name="Phase">
    <vt:lpwstr>Under bearbetning - ej giltigt!</vt:lpwstr>
  </property>
  <property fmtid="{D5CDD505-2E9C-101B-9397-08002B2CF9AE}" pid="19" name="RegNo">
    <vt:lpwstr>40578</vt:lpwstr>
  </property>
  <property fmtid="{D5CDD505-2E9C-101B-9397-08002B2CF9AE}" pid="20" name="ReviewedBy">
    <vt:lpwstr/>
  </property>
  <property fmtid="{D5CDD505-2E9C-101B-9397-08002B2CF9AE}" pid="21" name="ReviewedByOU">
    <vt:lpwstr/>
  </property>
  <property fmtid="{D5CDD505-2E9C-101B-9397-08002B2CF9AE}" pid="22" name="ReviewedByPositionCode">
    <vt:lpwstr/>
  </property>
  <property fmtid="{D5CDD505-2E9C-101B-9397-08002B2CF9AE}" pid="23" name="ReviewedByTitle">
    <vt:lpwstr/>
  </property>
  <property fmtid="{D5CDD505-2E9C-101B-9397-08002B2CF9AE}" pid="24" name="ReviewedDate">
    <vt:lpwstr/>
  </property>
  <property fmtid="{D5CDD505-2E9C-101B-9397-08002B2CF9AE}" pid="25" name="ValidFrom">
    <vt:lpwstr/>
  </property>
  <property fmtid="{D5CDD505-2E9C-101B-9397-08002B2CF9AE}" pid="26" name="ValidUntil">
    <vt:lpwstr/>
  </property>
  <property fmtid="{D5CDD505-2E9C-101B-9397-08002B2CF9AE}" pid="27" name="EstablishedDate">
    <vt:lpwstr>2017-12-12</vt:lpwstr>
  </property>
  <property fmtid="{D5CDD505-2E9C-101B-9397-08002B2CF9AE}" pid="28" name="ApprovedDate">
    <vt:lpwstr/>
  </property>
  <property fmtid="{D5CDD505-2E9C-101B-9397-08002B2CF9AE}" pid="29" name="CDiarieNo">
    <vt:lpwstr> </vt:lpwstr>
  </property>
  <property fmtid="{D5CDD505-2E9C-101B-9397-08002B2CF9AE}" pid="30" name="DocNo">
    <vt:lpwstr>40578-1</vt:lpwstr>
  </property>
  <property fmtid="{D5CDD505-2E9C-101B-9397-08002B2CF9AE}" pid="31" name="OwnerPositionCode">
    <vt:lpwstr>Hjälpmedelscentrum</vt:lpwstr>
  </property>
  <property fmtid="{D5CDD505-2E9C-101B-9397-08002B2CF9AE}" pid="32" name="EK_saved">
    <vt:lpwstr>yes</vt:lpwstr>
  </property>
</Properties>
</file>